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Default="009C54C8" w:rsidP="00E35559">
      <w:pPr>
        <w:pStyle w:val="3GPPHeader"/>
        <w:spacing w:after="60"/>
      </w:pPr>
      <w:r>
        <w:t xml:space="preserve"> </w:t>
      </w:r>
    </w:p>
    <w:p w14:paraId="3A3B0384" w14:textId="07799FF0" w:rsidR="006D7FD5" w:rsidRPr="00F8040D" w:rsidRDefault="00E90E49" w:rsidP="008A26CD">
      <w:pPr>
        <w:pStyle w:val="3GPPHeader"/>
        <w:spacing w:after="60"/>
      </w:pPr>
      <w:r w:rsidRPr="00DC561D">
        <w:t>3GPP TSG-RAN WG</w:t>
      </w:r>
      <w:r w:rsidR="008F1C4E" w:rsidRPr="00DC561D">
        <w:t>1</w:t>
      </w:r>
      <w:r w:rsidRPr="00DC561D">
        <w:t xml:space="preserve"> </w:t>
      </w:r>
      <w:r w:rsidR="008F1C4E" w:rsidRPr="00DC561D">
        <w:t xml:space="preserve">Meeting </w:t>
      </w:r>
      <w:r w:rsidRPr="00DC561D">
        <w:t>#</w:t>
      </w:r>
      <w:r w:rsidR="00EF3E1B">
        <w:t>10</w:t>
      </w:r>
      <w:r w:rsidR="004B0368">
        <w:t>2</w:t>
      </w:r>
      <w:r w:rsidR="00165C84">
        <w:t>-e</w:t>
      </w:r>
      <w:r w:rsidRPr="00DC561D">
        <w:tab/>
      </w:r>
      <w:r w:rsidR="00E84F3A" w:rsidRPr="00F8040D">
        <w:t>R1-</w:t>
      </w:r>
      <w:r w:rsidR="00B40A50" w:rsidRPr="00F8040D">
        <w:t xml:space="preserve"> </w:t>
      </w:r>
      <w:r w:rsidR="00F8040D" w:rsidRPr="00F8040D">
        <w:t>2006914</w:t>
      </w:r>
    </w:p>
    <w:p w14:paraId="3135F61D" w14:textId="08B3E593" w:rsidR="000B4B22" w:rsidRPr="00CE0424" w:rsidRDefault="000B4B22" w:rsidP="000B4B22">
      <w:pPr>
        <w:pStyle w:val="3GPPHeader"/>
      </w:pPr>
      <w:r w:rsidRPr="00D44FD2">
        <w:t xml:space="preserve">e-Meeting, </w:t>
      </w:r>
      <w:r w:rsidR="004B0368">
        <w:t>August</w:t>
      </w:r>
      <w:r w:rsidRPr="00D44FD2">
        <w:t xml:space="preserve"> </w:t>
      </w:r>
      <w:r w:rsidR="004B0368">
        <w:t>17</w:t>
      </w:r>
      <w:r w:rsidRPr="00911828">
        <w:rPr>
          <w:vertAlign w:val="superscript"/>
        </w:rPr>
        <w:t>th</w:t>
      </w:r>
      <w:r w:rsidRPr="00D44FD2">
        <w:t>–</w:t>
      </w:r>
      <w:r w:rsidR="00911828">
        <w:t>28</w:t>
      </w:r>
      <w:r w:rsidRPr="00911828">
        <w:rPr>
          <w:vertAlign w:val="superscript"/>
        </w:rPr>
        <w:t>th</w:t>
      </w:r>
      <w:r w:rsidRPr="00D44FD2">
        <w:t>, 2020</w:t>
      </w:r>
    </w:p>
    <w:p w14:paraId="35B6B442" w14:textId="31B1AC0B" w:rsidR="00E90E49" w:rsidRPr="00DC561D" w:rsidRDefault="00E90E49" w:rsidP="00311702">
      <w:pPr>
        <w:pStyle w:val="3GPPHeader"/>
      </w:pPr>
      <w:r w:rsidRPr="00DC561D">
        <w:t>Agenda Item:</w:t>
      </w:r>
      <w:r w:rsidRPr="00DC561D">
        <w:tab/>
      </w:r>
      <w:r w:rsidR="00C72515">
        <w:t>8.</w:t>
      </w:r>
      <w:r w:rsidR="004B0368">
        <w:t>5</w:t>
      </w:r>
      <w:r w:rsidR="00C72515">
        <w:t>.1</w:t>
      </w:r>
    </w:p>
    <w:p w14:paraId="3D2E227E" w14:textId="77777777" w:rsidR="00E90E49" w:rsidRPr="00DC561D" w:rsidRDefault="003D3C45" w:rsidP="00F64C2B">
      <w:pPr>
        <w:pStyle w:val="3GPPHeader"/>
      </w:pPr>
      <w:r w:rsidRPr="00DC561D">
        <w:t>Source:</w:t>
      </w:r>
      <w:r w:rsidR="00E90E49" w:rsidRPr="00DC561D">
        <w:tab/>
      </w:r>
      <w:r w:rsidR="00F64C2B" w:rsidRPr="00DC561D">
        <w:t>Ericsson</w:t>
      </w:r>
    </w:p>
    <w:p w14:paraId="2DEDFF6F" w14:textId="3597C3BA" w:rsidR="00E90E49" w:rsidRPr="00DC561D" w:rsidRDefault="003D3C45" w:rsidP="00311702">
      <w:pPr>
        <w:pStyle w:val="3GPPHeader"/>
      </w:pPr>
      <w:r w:rsidRPr="00DC561D">
        <w:t>Title:</w:t>
      </w:r>
      <w:r w:rsidR="00E90E49" w:rsidRPr="00DC561D">
        <w:tab/>
      </w:r>
      <w:r w:rsidR="00523004">
        <w:t>Further details on a</w:t>
      </w:r>
      <w:r w:rsidR="002048B3">
        <w:t xml:space="preserve">dditional </w:t>
      </w:r>
      <w:r w:rsidR="00A14A74">
        <w:rPr>
          <w:bCs/>
          <w:lang w:val="en-GB"/>
        </w:rPr>
        <w:t>S</w:t>
      </w:r>
      <w:r w:rsidR="00842600" w:rsidRPr="00842600">
        <w:rPr>
          <w:bCs/>
          <w:lang w:val="en-GB"/>
        </w:rPr>
        <w:t xml:space="preserve">cenarios for </w:t>
      </w:r>
      <w:r w:rsidR="00A14A74">
        <w:rPr>
          <w:bCs/>
          <w:lang w:val="en-GB"/>
        </w:rPr>
        <w:t xml:space="preserve">performance </w:t>
      </w:r>
      <w:r w:rsidR="00842600" w:rsidRPr="00842600">
        <w:rPr>
          <w:bCs/>
          <w:lang w:val="en-GB"/>
        </w:rPr>
        <w:t>evaluation</w:t>
      </w:r>
      <w:r w:rsidR="006D3360">
        <w:rPr>
          <w:bCs/>
          <w:lang w:val="en-GB"/>
        </w:rPr>
        <w:t>s</w:t>
      </w:r>
    </w:p>
    <w:p w14:paraId="1E6D1FFD" w14:textId="77777777" w:rsidR="00E90E49" w:rsidRPr="00F446B8" w:rsidRDefault="00E90E49" w:rsidP="00D546FF">
      <w:pPr>
        <w:pStyle w:val="3GPPHeader"/>
      </w:pPr>
      <w:r w:rsidRPr="00F446B8">
        <w:t>Document for:</w:t>
      </w:r>
      <w:r w:rsidRPr="00F446B8">
        <w:tab/>
        <w:t>Discussion, Decision</w:t>
      </w:r>
    </w:p>
    <w:p w14:paraId="18E093A7" w14:textId="77777777"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0DE5D336" w14:textId="61603BE6" w:rsidR="00922238" w:rsidRPr="00167A19" w:rsidRDefault="00523004" w:rsidP="00167A19">
      <w:r w:rsidRPr="00167A19">
        <w:t xml:space="preserve">During RAN1#101, initial agreements were made regarding the </w:t>
      </w:r>
      <w:r w:rsidR="00902D0D" w:rsidRPr="00167A19">
        <w:t xml:space="preserve">evaluation </w:t>
      </w:r>
      <w:r w:rsidRPr="00167A19">
        <w:t>scenarios</w:t>
      </w:r>
      <w:r w:rsidR="008A4527" w:rsidRPr="00167A19">
        <w:t xml:space="preserve">, including modeling, </w:t>
      </w:r>
      <w:proofErr w:type="spellStart"/>
      <w:r w:rsidR="008A4527" w:rsidRPr="00167A19">
        <w:t>parametering</w:t>
      </w:r>
      <w:proofErr w:type="spellEnd"/>
      <w:r w:rsidR="008A4527" w:rsidRPr="00167A19">
        <w:t xml:space="preserve">, and targets for performance. In this contribution, we provide our view on the </w:t>
      </w:r>
      <w:r w:rsidR="00D32933" w:rsidRPr="00167A19">
        <w:t>remaining issues.</w:t>
      </w:r>
    </w:p>
    <w:p w14:paraId="04FB6E43" w14:textId="42E649BB" w:rsidR="00FA0B7D" w:rsidRDefault="00C74B9A" w:rsidP="00FA0B7D">
      <w:pPr>
        <w:pStyle w:val="3GPPNormalText"/>
      </w:pPr>
      <w:r>
        <w:t xml:space="preserve"> </w:t>
      </w:r>
    </w:p>
    <w:p w14:paraId="243E1308" w14:textId="3CC1BE88" w:rsidR="00FA0B7D" w:rsidRPr="000C49E1" w:rsidRDefault="00FA0B7D" w:rsidP="000C49E1">
      <w:pPr>
        <w:pStyle w:val="3GPPText"/>
        <w:rPr>
          <w:rFonts w:eastAsia="SimSun"/>
          <w:lang w:eastAsia="ja-JP"/>
        </w:rPr>
      </w:pPr>
    </w:p>
    <w:p w14:paraId="063FBF51" w14:textId="7FF6A237" w:rsidR="00D2565B" w:rsidRDefault="00D2565B" w:rsidP="00A61E75">
      <w:pPr>
        <w:pStyle w:val="3GPPH1"/>
        <w:numPr>
          <w:ilvl w:val="0"/>
          <w:numId w:val="11"/>
        </w:numPr>
        <w:ind w:left="425" w:hanging="425"/>
      </w:pPr>
      <w:bookmarkStart w:id="2" w:name="_Ref7792543"/>
      <w:bookmarkStart w:id="3" w:name="_Ref7598514"/>
      <w:r>
        <w:t>Remaining issues on requirements and targets</w:t>
      </w:r>
    </w:p>
    <w:p w14:paraId="5F7494CB" w14:textId="7B880353" w:rsidR="00D2565B" w:rsidRPr="00D2565B" w:rsidRDefault="00D2565B" w:rsidP="00D2565B">
      <w:pPr>
        <w:pStyle w:val="Heading2"/>
        <w:numPr>
          <w:ilvl w:val="1"/>
          <w:numId w:val="11"/>
        </w:numPr>
      </w:pPr>
      <w:r w:rsidRPr="00D2565B">
        <w:t>Target positioning requirements</w:t>
      </w:r>
    </w:p>
    <w:p w14:paraId="60C84AE8" w14:textId="0EA6E05C" w:rsidR="00D2565B" w:rsidRDefault="00625C69" w:rsidP="00167A19">
      <w:r w:rsidRPr="00625C69">
        <w:t>The following was agreed in RAN1#101e:</w:t>
      </w:r>
    </w:p>
    <w:p w14:paraId="32F9EF55" w14:textId="395F556A" w:rsidR="00625C69" w:rsidRDefault="00625C69" w:rsidP="00D2565B">
      <w:pPr>
        <w:pStyle w:val="ListParagraph"/>
        <w:ind w:left="0"/>
        <w:rPr>
          <w:lang w:val="en-US"/>
        </w:rPr>
      </w:pPr>
    </w:p>
    <w:p w14:paraId="195C8C91" w14:textId="77777777" w:rsidR="00625C69" w:rsidRPr="00625C69" w:rsidRDefault="00625C69" w:rsidP="00D2565B">
      <w:pPr>
        <w:pStyle w:val="ListParagraph"/>
        <w:ind w:left="0"/>
        <w:rPr>
          <w:lang w:val="en-US"/>
        </w:rPr>
      </w:pPr>
    </w:p>
    <w:tbl>
      <w:tblPr>
        <w:tblStyle w:val="TableGrid"/>
        <w:tblW w:w="0" w:type="auto"/>
        <w:tblLook w:val="04A0" w:firstRow="1" w:lastRow="0" w:firstColumn="1" w:lastColumn="0" w:noHBand="0" w:noVBand="1"/>
      </w:tblPr>
      <w:tblGrid>
        <w:gridCol w:w="9629"/>
      </w:tblGrid>
      <w:tr w:rsidR="00625C69" w14:paraId="5246260B" w14:textId="77777777" w:rsidTr="00625C69">
        <w:tc>
          <w:tcPr>
            <w:tcW w:w="9629" w:type="dxa"/>
          </w:tcPr>
          <w:p w14:paraId="12172273" w14:textId="77777777" w:rsidR="00625C69" w:rsidRDefault="00625C69" w:rsidP="00625C69">
            <w:pPr>
              <w:pStyle w:val="ListParagraph"/>
              <w:ind w:left="0"/>
            </w:pPr>
            <w:r>
              <w:rPr>
                <w:highlight w:val="green"/>
              </w:rPr>
              <w:t>Agreement:</w:t>
            </w:r>
          </w:p>
          <w:p w14:paraId="1C91461C" w14:textId="77777777" w:rsidR="00625C69" w:rsidRDefault="00625C69" w:rsidP="00FA0B7D">
            <w:pPr>
              <w:pStyle w:val="ListParagraph"/>
              <w:numPr>
                <w:ilvl w:val="0"/>
                <w:numId w:val="22"/>
              </w:numPr>
              <w:ind w:left="360"/>
            </w:pPr>
            <w:r>
              <w:rPr>
                <w:lang w:eastAsia="zh-CN"/>
              </w:rPr>
              <w:t xml:space="preserve">In Rel-17 target positioning requirements for </w:t>
            </w:r>
            <w:r>
              <w:rPr>
                <w:b/>
              </w:rPr>
              <w:t>commercial use cases</w:t>
            </w:r>
            <w:r>
              <w:t xml:space="preserve"> </w:t>
            </w:r>
            <w:r>
              <w:rPr>
                <w:lang w:eastAsia="zh-CN"/>
              </w:rPr>
              <w:t xml:space="preserve">are defined </w:t>
            </w:r>
            <w:r>
              <w:t>as follows:</w:t>
            </w:r>
          </w:p>
          <w:p w14:paraId="0C3B59B8" w14:textId="77777777" w:rsidR="00625C69" w:rsidRDefault="00625C69" w:rsidP="00FA0B7D">
            <w:pPr>
              <w:pStyle w:val="ListParagraph"/>
              <w:numPr>
                <w:ilvl w:val="1"/>
                <w:numId w:val="23"/>
              </w:numPr>
              <w:tabs>
                <w:tab w:val="left" w:pos="1004"/>
              </w:tabs>
              <w:spacing w:line="256" w:lineRule="auto"/>
              <w:ind w:left="1080"/>
              <w:contextualSpacing/>
              <w:rPr>
                <w:lang w:eastAsia="zh-CN"/>
              </w:rPr>
            </w:pPr>
            <w:r>
              <w:t>Horizontal position accuracy (&lt; 1 m) for [90%] of UEs</w:t>
            </w:r>
          </w:p>
          <w:p w14:paraId="5BEDAE80" w14:textId="77777777" w:rsidR="00625C69" w:rsidRDefault="00625C69" w:rsidP="00FA0B7D">
            <w:pPr>
              <w:pStyle w:val="ListParagraph"/>
              <w:numPr>
                <w:ilvl w:val="1"/>
                <w:numId w:val="23"/>
              </w:numPr>
              <w:tabs>
                <w:tab w:val="left" w:pos="1004"/>
              </w:tabs>
              <w:spacing w:line="256" w:lineRule="auto"/>
              <w:ind w:left="1080"/>
              <w:contextualSpacing/>
              <w:rPr>
                <w:lang w:eastAsia="zh-CN"/>
              </w:rPr>
            </w:pPr>
            <w:r>
              <w:t>Vertical position accuracy (&lt; [2 or 3] m) for [90%] of UEs</w:t>
            </w:r>
          </w:p>
          <w:p w14:paraId="484C495A" w14:textId="77777777" w:rsidR="00625C69" w:rsidRDefault="00625C69" w:rsidP="00FA0B7D">
            <w:pPr>
              <w:pStyle w:val="ListParagraph"/>
              <w:numPr>
                <w:ilvl w:val="1"/>
                <w:numId w:val="23"/>
              </w:numPr>
              <w:tabs>
                <w:tab w:val="left" w:pos="1004"/>
              </w:tabs>
              <w:spacing w:line="256" w:lineRule="auto"/>
              <w:ind w:left="1080"/>
              <w:contextualSpacing/>
              <w:rPr>
                <w:lang w:eastAsia="zh-CN"/>
              </w:rPr>
            </w:pPr>
            <w:r>
              <w:t xml:space="preserve">End-to-end latency for position estimation of UE (&lt; [100 </w:t>
            </w:r>
            <w:proofErr w:type="spellStart"/>
            <w:r>
              <w:t>ms</w:t>
            </w:r>
            <w:proofErr w:type="spellEnd"/>
            <w:r>
              <w:t>])</w:t>
            </w:r>
          </w:p>
          <w:p w14:paraId="31A6EE45" w14:textId="77777777" w:rsidR="00625C69" w:rsidRDefault="00625C69" w:rsidP="00FA0B7D">
            <w:pPr>
              <w:pStyle w:val="ListParagraph"/>
              <w:numPr>
                <w:ilvl w:val="1"/>
                <w:numId w:val="23"/>
              </w:numPr>
              <w:tabs>
                <w:tab w:val="left" w:pos="1004"/>
              </w:tabs>
              <w:spacing w:line="256" w:lineRule="auto"/>
              <w:ind w:left="1080"/>
              <w:contextualSpacing/>
              <w:rPr>
                <w:lang w:eastAsia="zh-CN"/>
              </w:rPr>
            </w:pPr>
            <w:r>
              <w:t xml:space="preserve">FFS: Physical layer latency for position estimation of UE (&lt; [10 </w:t>
            </w:r>
            <w:proofErr w:type="spellStart"/>
            <w:r>
              <w:t>ms</w:t>
            </w:r>
            <w:proofErr w:type="spellEnd"/>
            <w:r>
              <w:t>])</w:t>
            </w:r>
          </w:p>
          <w:p w14:paraId="6C0F881C" w14:textId="77777777" w:rsidR="00625C69" w:rsidRDefault="00625C69" w:rsidP="00FA0B7D">
            <w:pPr>
              <w:pStyle w:val="ListParagraph"/>
              <w:numPr>
                <w:ilvl w:val="0"/>
                <w:numId w:val="22"/>
              </w:numPr>
              <w:ind w:left="360"/>
              <w:rPr>
                <w:lang w:eastAsia="zh-CN"/>
              </w:rPr>
            </w:pPr>
            <w:r>
              <w:rPr>
                <w:lang w:eastAsia="zh-CN"/>
              </w:rPr>
              <w:t xml:space="preserve">In Rel-17 target positioning requirements for </w:t>
            </w:r>
            <w:proofErr w:type="spellStart"/>
            <w:r>
              <w:rPr>
                <w:b/>
                <w:bCs/>
                <w:lang w:eastAsia="zh-CN"/>
              </w:rPr>
              <w:t>IIoT</w:t>
            </w:r>
            <w:proofErr w:type="spellEnd"/>
            <w:r>
              <w:rPr>
                <w:b/>
                <w:bCs/>
                <w:lang w:eastAsia="zh-CN"/>
              </w:rPr>
              <w:t xml:space="preserve"> use cases</w:t>
            </w:r>
            <w:r>
              <w:rPr>
                <w:lang w:eastAsia="zh-CN"/>
              </w:rPr>
              <w:t xml:space="preserve"> are defined as follows:</w:t>
            </w:r>
          </w:p>
          <w:p w14:paraId="2AE5791C" w14:textId="77777777" w:rsidR="00625C69" w:rsidRDefault="00625C69" w:rsidP="00FA0B7D">
            <w:pPr>
              <w:pStyle w:val="ListParagraph"/>
              <w:numPr>
                <w:ilvl w:val="1"/>
                <w:numId w:val="23"/>
              </w:numPr>
              <w:tabs>
                <w:tab w:val="left" w:pos="1004"/>
              </w:tabs>
              <w:spacing w:line="256" w:lineRule="auto"/>
              <w:ind w:left="1080"/>
              <w:contextualSpacing/>
            </w:pPr>
            <w:r>
              <w:t>Horizontal position accuracy (&lt; X m) for [90%] of UEs</w:t>
            </w:r>
          </w:p>
          <w:p w14:paraId="4063E00B" w14:textId="77777777" w:rsidR="00625C69" w:rsidRDefault="00625C69" w:rsidP="00FA0B7D">
            <w:pPr>
              <w:pStyle w:val="ListParagraph"/>
              <w:numPr>
                <w:ilvl w:val="2"/>
                <w:numId w:val="23"/>
              </w:numPr>
              <w:tabs>
                <w:tab w:val="left" w:pos="1004"/>
              </w:tabs>
              <w:spacing w:line="256" w:lineRule="auto"/>
              <w:contextualSpacing/>
            </w:pPr>
            <w:r>
              <w:t>X = [0.2 or 0.5] m</w:t>
            </w:r>
          </w:p>
          <w:p w14:paraId="5296DAAA" w14:textId="77777777" w:rsidR="00625C69" w:rsidRDefault="00625C69" w:rsidP="00FA0B7D">
            <w:pPr>
              <w:pStyle w:val="ListParagraph"/>
              <w:numPr>
                <w:ilvl w:val="1"/>
                <w:numId w:val="23"/>
              </w:numPr>
              <w:tabs>
                <w:tab w:val="left" w:pos="1004"/>
              </w:tabs>
              <w:spacing w:line="256" w:lineRule="auto"/>
              <w:ind w:left="1080"/>
              <w:contextualSpacing/>
            </w:pPr>
            <w:r>
              <w:t>Vertical position accuracy (&lt; Y m) for [90%] of UEs</w:t>
            </w:r>
          </w:p>
          <w:p w14:paraId="004F8F57" w14:textId="77777777" w:rsidR="00625C69" w:rsidRDefault="00625C69" w:rsidP="00FA0B7D">
            <w:pPr>
              <w:pStyle w:val="ListParagraph"/>
              <w:numPr>
                <w:ilvl w:val="2"/>
                <w:numId w:val="23"/>
              </w:numPr>
              <w:tabs>
                <w:tab w:val="left" w:pos="1004"/>
              </w:tabs>
              <w:spacing w:line="256" w:lineRule="auto"/>
              <w:contextualSpacing/>
            </w:pPr>
            <w:r>
              <w:t>Y = [0.2 or 1] m</w:t>
            </w:r>
          </w:p>
          <w:p w14:paraId="073ABF72" w14:textId="77777777" w:rsidR="00625C69" w:rsidRDefault="00625C69" w:rsidP="00FA0B7D">
            <w:pPr>
              <w:pStyle w:val="ListParagraph"/>
              <w:numPr>
                <w:ilvl w:val="1"/>
                <w:numId w:val="23"/>
              </w:numPr>
              <w:tabs>
                <w:tab w:val="left" w:pos="1004"/>
              </w:tabs>
              <w:spacing w:line="256" w:lineRule="auto"/>
              <w:ind w:left="1080"/>
              <w:contextualSpacing/>
            </w:pPr>
            <w:r>
              <w:t>End-to-end latency for position estimation of UE (&lt; [10ms, 20ms, or 100ms])</w:t>
            </w:r>
          </w:p>
          <w:p w14:paraId="73CF2CCA" w14:textId="77777777" w:rsidR="00625C69" w:rsidRDefault="00625C69" w:rsidP="00FA0B7D">
            <w:pPr>
              <w:pStyle w:val="ListParagraph"/>
              <w:numPr>
                <w:ilvl w:val="1"/>
                <w:numId w:val="23"/>
              </w:numPr>
              <w:tabs>
                <w:tab w:val="left" w:pos="1004"/>
              </w:tabs>
              <w:spacing w:line="256" w:lineRule="auto"/>
              <w:ind w:left="1080"/>
              <w:contextualSpacing/>
            </w:pPr>
            <w:r>
              <w:t>FFS: Physical layer latency for position estimation of UE (&lt; [10ms])</w:t>
            </w:r>
          </w:p>
          <w:p w14:paraId="6DF62853" w14:textId="77777777" w:rsidR="00625C69" w:rsidRDefault="00625C69" w:rsidP="00FA0B7D">
            <w:pPr>
              <w:pStyle w:val="ListParagraph"/>
              <w:numPr>
                <w:ilvl w:val="0"/>
                <w:numId w:val="22"/>
              </w:numPr>
              <w:ind w:left="360"/>
            </w:pPr>
            <w:r>
              <w:rPr>
                <w:lang w:eastAsia="zh-CN"/>
              </w:rPr>
              <w:t>Note: Target positioning requirements may not necessarily be reached for all scenarios</w:t>
            </w:r>
          </w:p>
          <w:p w14:paraId="277F1B46" w14:textId="77777777" w:rsidR="00625C69" w:rsidRDefault="00625C69" w:rsidP="00507F85"/>
        </w:tc>
      </w:tr>
    </w:tbl>
    <w:p w14:paraId="22B26906" w14:textId="502762F2" w:rsidR="00D2565B" w:rsidRDefault="00D2565B" w:rsidP="00507F85"/>
    <w:p w14:paraId="120BC159" w14:textId="43E6D0A7" w:rsidR="00600A50" w:rsidRDefault="00600A50" w:rsidP="00507F85">
      <w:r>
        <w:lastRenderedPageBreak/>
        <w:t xml:space="preserve">For </w:t>
      </w:r>
      <w:r w:rsidR="00CE5A5B">
        <w:t xml:space="preserve">all use cases, it should be noted that the accuracy target is for the system as a whole and not restricted to RAT-dependent solution. </w:t>
      </w:r>
      <w:r w:rsidR="0008439C">
        <w:t xml:space="preserve"> Therefore</w:t>
      </w:r>
      <w:r w:rsidR="004D3069">
        <w:t>,</w:t>
      </w:r>
      <w:r w:rsidR="0008439C">
        <w:t xml:space="preserve"> we propose to add a note to qua</w:t>
      </w:r>
      <w:r w:rsidR="00F80EC8">
        <w:t>n</w:t>
      </w:r>
      <w:r w:rsidR="00866FD6">
        <w:t>t</w:t>
      </w:r>
      <w:r w:rsidR="0008439C">
        <w:t>ify the accuracy requirements.</w:t>
      </w:r>
    </w:p>
    <w:p w14:paraId="51CF7AE9" w14:textId="1FAB2878" w:rsidR="0008439C" w:rsidRDefault="0008439C" w:rsidP="00507F85"/>
    <w:p w14:paraId="043C45AF" w14:textId="66A2CE2A" w:rsidR="0008439C" w:rsidRDefault="0008439C" w:rsidP="00507F85">
      <w:r>
        <w:t xml:space="preserve">For all use cases, we support defining the </w:t>
      </w:r>
      <w:r w:rsidR="00E51F58">
        <w:t>target accuracy</w:t>
      </w:r>
      <w:r>
        <w:t xml:space="preserve"> for the 90</w:t>
      </w:r>
      <w:r w:rsidRPr="0008439C">
        <w:rPr>
          <w:vertAlign w:val="superscript"/>
        </w:rPr>
        <w:t>th</w:t>
      </w:r>
      <w:r>
        <w:t xml:space="preserve"> percentile</w:t>
      </w:r>
      <w:r w:rsidR="000F1B72">
        <w:t xml:space="preserve">, which we </w:t>
      </w:r>
      <w:r w:rsidR="004A2F20">
        <w:t xml:space="preserve">also had during release 16. </w:t>
      </w:r>
    </w:p>
    <w:p w14:paraId="0ECC176C" w14:textId="46AB4EDE" w:rsidR="000E4BDA" w:rsidRDefault="000E4BDA" w:rsidP="00507F85"/>
    <w:p w14:paraId="34FD832D" w14:textId="3B6B1756" w:rsidR="000E4BDA" w:rsidRDefault="00AD77C9" w:rsidP="00AD77C9">
      <w:pPr>
        <w:pStyle w:val="Proposal"/>
      </w:pPr>
      <w:bookmarkStart w:id="4" w:name="_Toc47734435"/>
      <w:r>
        <w:t>Accuracy for commercial and IIOT use cases is defined for 90 percent of UEs</w:t>
      </w:r>
      <w:bookmarkEnd w:id="4"/>
    </w:p>
    <w:p w14:paraId="166B0773" w14:textId="3C96933B" w:rsidR="00AD77C9" w:rsidRDefault="00D8519C" w:rsidP="00507F85">
      <w:r>
        <w:t>For commercial use case</w:t>
      </w:r>
      <w:r w:rsidR="009C385E">
        <w:t>s</w:t>
      </w:r>
      <w:r>
        <w:t xml:space="preserve">, </w:t>
      </w:r>
      <w:r w:rsidR="00DF639C">
        <w:t>our view is that the</w:t>
      </w:r>
      <w:r w:rsidR="0031514F">
        <w:t xml:space="preserve"> scenarios should focus on </w:t>
      </w:r>
      <w:r w:rsidR="00DF639C">
        <w:t xml:space="preserve">mostly outdoor </w:t>
      </w:r>
      <w:proofErr w:type="spellStart"/>
      <w:r w:rsidR="002A4726">
        <w:t>UMi</w:t>
      </w:r>
      <w:proofErr w:type="spellEnd"/>
      <w:r w:rsidR="00F342D9">
        <w:t xml:space="preserve">, </w:t>
      </w:r>
      <w:r w:rsidR="0031514F">
        <w:t xml:space="preserve">since indoor will most likely be fulfilled by </w:t>
      </w:r>
      <w:proofErr w:type="spellStart"/>
      <w:r w:rsidR="0031514F">
        <w:t>InF</w:t>
      </w:r>
      <w:proofErr w:type="spellEnd"/>
      <w:r w:rsidR="0031514F">
        <w:t xml:space="preserve"> scenarios. </w:t>
      </w:r>
      <w:r w:rsidR="00111CA6">
        <w:t xml:space="preserve">For </w:t>
      </w:r>
      <w:proofErr w:type="spellStart"/>
      <w:r w:rsidR="003A667C">
        <w:t>UMi</w:t>
      </w:r>
      <w:proofErr w:type="spellEnd"/>
      <w:r w:rsidR="00111CA6">
        <w:t xml:space="preserve">, it is difficult to </w:t>
      </w:r>
      <w:proofErr w:type="gramStart"/>
      <w:r w:rsidR="00111CA6">
        <w:t xml:space="preserve">motivate </w:t>
      </w:r>
      <w:r w:rsidR="00F342D9">
        <w:t xml:space="preserve"> use</w:t>
      </w:r>
      <w:proofErr w:type="gramEnd"/>
      <w:r w:rsidR="00F342D9">
        <w:t xml:space="preserve"> cases </w:t>
      </w:r>
      <w:r w:rsidR="00111CA6">
        <w:t>with a requirement on vertical accuracy</w:t>
      </w:r>
      <w:r w:rsidR="00C80FD5">
        <w:t>. Therefore</w:t>
      </w:r>
      <w:r w:rsidR="008A52E7">
        <w:t>,</w:t>
      </w:r>
      <w:r w:rsidR="00C80FD5">
        <w:t xml:space="preserve"> we support not specifying a vertical positioning accuracy for commercial use cases. </w:t>
      </w:r>
    </w:p>
    <w:p w14:paraId="523D4FF3" w14:textId="15310D99" w:rsidR="00D31E70" w:rsidRDefault="00D31E70" w:rsidP="00507F85"/>
    <w:p w14:paraId="15E364C7" w14:textId="5542B7A4" w:rsidR="00D31E70" w:rsidRDefault="00D31E70" w:rsidP="000469F6">
      <w:pPr>
        <w:pStyle w:val="Proposal"/>
      </w:pPr>
      <w:bookmarkStart w:id="5" w:name="_Toc47734436"/>
      <w:r>
        <w:t>Do not specify a target for vertical accuracy for commercial use cases</w:t>
      </w:r>
      <w:bookmarkEnd w:id="5"/>
    </w:p>
    <w:p w14:paraId="7B8BF0BB" w14:textId="429F3430" w:rsidR="00D31E70" w:rsidRDefault="00D31E70" w:rsidP="00507F85"/>
    <w:p w14:paraId="70A1F1D2" w14:textId="779B02DC" w:rsidR="00D31E70" w:rsidRDefault="00D31E70" w:rsidP="00507F85">
      <w:r>
        <w:t xml:space="preserve">For </w:t>
      </w:r>
      <w:r w:rsidR="00AE3906">
        <w:t xml:space="preserve">IIOT, </w:t>
      </w:r>
      <w:r w:rsidR="001C5DE5">
        <w:t>vertical accuracy can be important for some use cases, but not all. Therefore</w:t>
      </w:r>
      <w:r w:rsidR="008D5605">
        <w:t>,</w:t>
      </w:r>
      <w:r w:rsidR="001C5DE5">
        <w:t xml:space="preserve"> we propose to specify different targets </w:t>
      </w:r>
      <w:r w:rsidR="00DB6577">
        <w:t xml:space="preserve">corresponding to different cases. </w:t>
      </w:r>
      <w:r w:rsidR="00C77B18">
        <w:t xml:space="preserve">Since some use case do not depend on vertical accuracy, we propose to make the vertical accuracy optional. </w:t>
      </w:r>
      <w:r w:rsidR="00E31BB1">
        <w:t xml:space="preserve">For horizontal accuracy, we support targeting 0.2m. </w:t>
      </w:r>
    </w:p>
    <w:p w14:paraId="4949D037" w14:textId="77777777" w:rsidR="00C77B18" w:rsidRDefault="00C77B18" w:rsidP="00507F85"/>
    <w:p w14:paraId="3D5ED436" w14:textId="77777777" w:rsidR="000469F6" w:rsidRPr="000469F6" w:rsidRDefault="000469F6" w:rsidP="004D0D16">
      <w:pPr>
        <w:pStyle w:val="Proposal"/>
      </w:pPr>
      <w:bookmarkStart w:id="6" w:name="_Toc47734437"/>
      <w:r w:rsidRPr="000469F6">
        <w:t xml:space="preserve">In Rel-17 target positioning requirements for </w:t>
      </w:r>
      <w:proofErr w:type="spellStart"/>
      <w:r w:rsidRPr="000469F6">
        <w:t>IIoT</w:t>
      </w:r>
      <w:proofErr w:type="spellEnd"/>
      <w:r w:rsidRPr="000469F6">
        <w:t xml:space="preserve"> use cases are defined as follows:</w:t>
      </w:r>
      <w:bookmarkEnd w:id="6"/>
    </w:p>
    <w:p w14:paraId="79FFE737" w14:textId="5E7A7E71" w:rsidR="000469F6" w:rsidRDefault="004D0D16" w:rsidP="004D0D16">
      <w:pPr>
        <w:pStyle w:val="Proposal"/>
        <w:numPr>
          <w:ilvl w:val="0"/>
          <w:numId w:val="0"/>
        </w:numPr>
        <w:ind w:left="1440"/>
      </w:pPr>
      <w:bookmarkStart w:id="7" w:name="_Toc47734438"/>
      <w:r>
        <w:t xml:space="preserve">- </w:t>
      </w:r>
      <w:r w:rsidR="000469F6">
        <w:t>Horizontal position accuracy (&lt; X m) for [90%] of UEs</w:t>
      </w:r>
      <w:bookmarkEnd w:id="7"/>
    </w:p>
    <w:p w14:paraId="22964000" w14:textId="0EFB210B" w:rsidR="004D0D16" w:rsidRDefault="004D0D16" w:rsidP="004D0D16">
      <w:pPr>
        <w:pStyle w:val="Proposal"/>
        <w:numPr>
          <w:ilvl w:val="0"/>
          <w:numId w:val="0"/>
        </w:numPr>
        <w:ind w:left="1440"/>
      </w:pPr>
      <w:bookmarkStart w:id="8" w:name="_Toc47734439"/>
      <w:r>
        <w:t xml:space="preserve">- </w:t>
      </w:r>
      <w:r w:rsidR="003F2296">
        <w:t>X</w:t>
      </w:r>
      <w:r w:rsidR="000469F6">
        <w:t xml:space="preserve"> = </w:t>
      </w:r>
      <w:proofErr w:type="gramStart"/>
      <w:r w:rsidR="000469F6">
        <w:t>0.2  m</w:t>
      </w:r>
      <w:bookmarkEnd w:id="8"/>
      <w:proofErr w:type="gramEnd"/>
    </w:p>
    <w:p w14:paraId="24D1FEF0" w14:textId="77777777" w:rsidR="000F0BD1" w:rsidRDefault="004D0D16" w:rsidP="000F0BD1">
      <w:pPr>
        <w:pStyle w:val="Proposal"/>
        <w:numPr>
          <w:ilvl w:val="0"/>
          <w:numId w:val="0"/>
        </w:numPr>
        <w:ind w:left="1440"/>
      </w:pPr>
      <w:bookmarkStart w:id="9" w:name="_Toc47734440"/>
      <w:r>
        <w:t xml:space="preserve">- </w:t>
      </w:r>
      <w:r w:rsidR="000469F6" w:rsidRPr="000469F6">
        <w:t xml:space="preserve">(Optional) </w:t>
      </w:r>
      <w:r w:rsidR="000469F6">
        <w:t>Vertical position accuracy (&lt; Y m) for [90%] of UEs</w:t>
      </w:r>
      <w:bookmarkEnd w:id="9"/>
    </w:p>
    <w:p w14:paraId="08BBE85D" w14:textId="2BE2548A" w:rsidR="000469F6" w:rsidRDefault="000F0BD1" w:rsidP="000F0BD1">
      <w:pPr>
        <w:pStyle w:val="Proposal"/>
        <w:numPr>
          <w:ilvl w:val="0"/>
          <w:numId w:val="0"/>
        </w:numPr>
        <w:ind w:left="1440"/>
      </w:pPr>
      <w:bookmarkStart w:id="10" w:name="_Toc47734441"/>
      <w:r>
        <w:t xml:space="preserve">- </w:t>
      </w:r>
      <w:r w:rsidR="000469F6">
        <w:t>Y = 0.2 or 1 m</w:t>
      </w:r>
      <w:bookmarkEnd w:id="10"/>
    </w:p>
    <w:p w14:paraId="22CE222C" w14:textId="77777777" w:rsidR="00D64B34" w:rsidRDefault="00D64B34" w:rsidP="00507F85"/>
    <w:p w14:paraId="35E2B9C5" w14:textId="22A6DFB0" w:rsidR="008E0217" w:rsidRDefault="00FC2C9C" w:rsidP="00507F85">
      <w:r>
        <w:t xml:space="preserve">Regarding the end-to-end latency for position estimation of the UE, </w:t>
      </w:r>
      <w:r w:rsidR="00D46093">
        <w:t xml:space="preserve">we support aiming at multiple latency budgets, since different use cases </w:t>
      </w:r>
      <w:r w:rsidR="00C1036C">
        <w:t>can</w:t>
      </w:r>
      <w:r w:rsidR="00BF5D50">
        <w:t xml:space="preserve"> be either</w:t>
      </w:r>
      <w:r w:rsidR="00C1036C">
        <w:t xml:space="preserve"> </w:t>
      </w:r>
      <w:r w:rsidR="00D46093">
        <w:t>more or less demanding</w:t>
      </w:r>
      <w:r w:rsidR="00BF5D50">
        <w:t xml:space="preserve"> in terms of latency requirements</w:t>
      </w:r>
      <w:r w:rsidR="00D46093">
        <w:t xml:space="preserve">. </w:t>
      </w:r>
      <w:r w:rsidR="0005458E">
        <w:t>At the very least</w:t>
      </w:r>
      <w:r w:rsidR="00BF5D50">
        <w:t>,</w:t>
      </w:r>
      <w:r w:rsidR="0005458E">
        <w:t xml:space="preserve"> the target should include the target of 100ms</w:t>
      </w:r>
      <w:r w:rsidR="004150E7">
        <w:t xml:space="preserve"> described in the Rel-17 positioning study item description</w:t>
      </w:r>
      <w:r w:rsidR="0005458E">
        <w:t xml:space="preserve">. </w:t>
      </w:r>
      <w:r w:rsidR="00684D22">
        <w:t xml:space="preserve">Methods for mitigating </w:t>
      </w:r>
      <w:proofErr w:type="gramStart"/>
      <w:r w:rsidR="00684D22">
        <w:t xml:space="preserve">the </w:t>
      </w:r>
      <w:r w:rsidR="0080358F">
        <w:t xml:space="preserve"> </w:t>
      </w:r>
      <w:r w:rsidR="00822C3A">
        <w:t>physical</w:t>
      </w:r>
      <w:proofErr w:type="gramEnd"/>
      <w:r w:rsidR="00822C3A">
        <w:t xml:space="preserve"> layer </w:t>
      </w:r>
      <w:r w:rsidR="0080358F">
        <w:t xml:space="preserve">portion of the overall </w:t>
      </w:r>
      <w:r w:rsidR="00822C3A">
        <w:t>latency</w:t>
      </w:r>
      <w:r w:rsidR="0080358F">
        <w:t xml:space="preserve"> budget</w:t>
      </w:r>
      <w:r w:rsidR="00822C3A">
        <w:t xml:space="preserve">, </w:t>
      </w:r>
      <w:r w:rsidR="00333B02">
        <w:t>wh</w:t>
      </w:r>
      <w:r w:rsidR="00206FF9">
        <w:t xml:space="preserve">ich is impacted by RAN1 specification, </w:t>
      </w:r>
      <w:r w:rsidR="00684D22">
        <w:t xml:space="preserve">should be discussed within RAN1, while latency reduction in higher layers should be left to other working groups. </w:t>
      </w:r>
      <w:r w:rsidR="006B4F3A">
        <w:t xml:space="preserve">. </w:t>
      </w:r>
    </w:p>
    <w:p w14:paraId="5FE59423" w14:textId="0570FD00" w:rsidR="00D64B34" w:rsidRDefault="00D64B34" w:rsidP="00507F85"/>
    <w:p w14:paraId="4609F0D8" w14:textId="38AA98EF" w:rsidR="00D071A1" w:rsidRDefault="00D071A1" w:rsidP="00316C84">
      <w:pPr>
        <w:pStyle w:val="Proposal"/>
      </w:pPr>
      <w:bookmarkStart w:id="11" w:name="_Toc47734442"/>
      <w:r>
        <w:t>Target latency should include at least 100ms end to end</w:t>
      </w:r>
      <w:r w:rsidR="00E74498">
        <w:t>, for both IIOT and commercial use cases</w:t>
      </w:r>
      <w:bookmarkEnd w:id="11"/>
      <w:r>
        <w:t xml:space="preserve"> </w:t>
      </w:r>
    </w:p>
    <w:p w14:paraId="5AA6AD42" w14:textId="67782F29" w:rsidR="00D64B34" w:rsidRPr="00507F85" w:rsidRDefault="00187C3B" w:rsidP="00DA7805">
      <w:pPr>
        <w:pStyle w:val="Observation"/>
      </w:pPr>
      <w:bookmarkStart w:id="12" w:name="_Toc47734465"/>
      <w:r>
        <w:t>Reducing t</w:t>
      </w:r>
      <w:r w:rsidR="00A44C7E">
        <w:t xml:space="preserve">he Physical layer portion of the </w:t>
      </w:r>
      <w:r>
        <w:t>total latency budget should be investigated by RAN1.</w:t>
      </w:r>
      <w:bookmarkEnd w:id="12"/>
    </w:p>
    <w:p w14:paraId="33BA1BA1" w14:textId="2668711F" w:rsidR="00D2565B" w:rsidRPr="00167A19" w:rsidRDefault="00AE615B" w:rsidP="00AE615B">
      <w:pPr>
        <w:pStyle w:val="Heading2"/>
        <w:numPr>
          <w:ilvl w:val="1"/>
          <w:numId w:val="11"/>
        </w:numPr>
      </w:pPr>
      <w:r w:rsidRPr="00167A19">
        <w:t>Efficiency metric:</w:t>
      </w:r>
    </w:p>
    <w:p w14:paraId="45E25F96" w14:textId="77777777" w:rsidR="00780CD8" w:rsidRPr="00780CD8" w:rsidRDefault="00780CD8" w:rsidP="00780CD8">
      <w:r w:rsidRPr="00780CD8">
        <w:t>The following was agreed in RAN1#101e:</w:t>
      </w:r>
    </w:p>
    <w:p w14:paraId="0FC88489" w14:textId="1A91402F" w:rsidR="00AE615B" w:rsidRPr="00780CD8" w:rsidRDefault="00AE615B" w:rsidP="00D2565B">
      <w:pPr>
        <w:pStyle w:val="3GPPText"/>
      </w:pPr>
    </w:p>
    <w:tbl>
      <w:tblPr>
        <w:tblStyle w:val="TableGrid"/>
        <w:tblW w:w="0" w:type="auto"/>
        <w:tblLook w:val="04A0" w:firstRow="1" w:lastRow="0" w:firstColumn="1" w:lastColumn="0" w:noHBand="0" w:noVBand="1"/>
      </w:tblPr>
      <w:tblGrid>
        <w:gridCol w:w="9629"/>
      </w:tblGrid>
      <w:tr w:rsidR="00AE615B" w:rsidRPr="00AE615B" w14:paraId="009B0926" w14:textId="77777777" w:rsidTr="00AE615B">
        <w:tc>
          <w:tcPr>
            <w:tcW w:w="9629" w:type="dxa"/>
          </w:tcPr>
          <w:p w14:paraId="6D1238B5" w14:textId="77777777" w:rsidR="00AE615B" w:rsidRDefault="00AE615B" w:rsidP="00AE615B">
            <w:pPr>
              <w:rPr>
                <w:lang w:eastAsia="x-none"/>
              </w:rPr>
            </w:pPr>
            <w:r>
              <w:rPr>
                <w:highlight w:val="green"/>
                <w:lang w:eastAsia="x-none"/>
              </w:rPr>
              <w:t>Agreement:</w:t>
            </w:r>
          </w:p>
          <w:p w14:paraId="6F1668F8" w14:textId="77777777" w:rsidR="00AE615B" w:rsidRDefault="00AE615B" w:rsidP="00AE615B">
            <w:pPr>
              <w:pStyle w:val="ListParagraph"/>
              <w:ind w:left="0"/>
            </w:pPr>
            <w:r>
              <w:t xml:space="preserve">Network efficiency and UE efficiency can be evaluated at least </w:t>
            </w:r>
            <w:r>
              <w:rPr>
                <w:lang w:eastAsia="zh-CN"/>
              </w:rPr>
              <w:t>in an analytical manner.</w:t>
            </w:r>
          </w:p>
          <w:p w14:paraId="49C5DD9E" w14:textId="77777777" w:rsidR="00AE615B" w:rsidRDefault="00AE615B" w:rsidP="00FA0B7D">
            <w:pPr>
              <w:pStyle w:val="ListParagraph"/>
              <w:numPr>
                <w:ilvl w:val="0"/>
                <w:numId w:val="25"/>
              </w:numPr>
            </w:pPr>
            <w:r>
              <w:t xml:space="preserve">FFS: the definition of efficiency metric (e.g., the positioning performance (accuracy, latency) vs. PRS/SRS </w:t>
            </w:r>
            <w:r>
              <w:rPr>
                <w:rFonts w:eastAsia="Times New Roman" w:cs="Calibri"/>
                <w:lang w:eastAsia="zh-CN"/>
              </w:rPr>
              <w:t xml:space="preserve">resource utilization </w:t>
            </w:r>
            <w:r>
              <w:rPr>
                <w:rFonts w:eastAsia="Malgun Gothic" w:cs="Calibri"/>
                <w:lang w:eastAsia="ko-KR"/>
              </w:rPr>
              <w:t>etc.)</w:t>
            </w:r>
          </w:p>
          <w:p w14:paraId="46D3C30D" w14:textId="77777777" w:rsidR="00AE615B" w:rsidRDefault="00AE615B" w:rsidP="00FA0B7D">
            <w:pPr>
              <w:pStyle w:val="ListParagraph"/>
              <w:numPr>
                <w:ilvl w:val="0"/>
                <w:numId w:val="25"/>
              </w:numPr>
            </w:pPr>
            <w:r>
              <w:rPr>
                <w:lang w:eastAsia="zh-CN"/>
              </w:rPr>
              <w:lastRenderedPageBreak/>
              <w:t xml:space="preserve">Note: It will be up to each company on whether to use other methods (e.g., numerical simulation) </w:t>
            </w:r>
            <w:r>
              <w:t>for the evaluation.</w:t>
            </w:r>
          </w:p>
          <w:p w14:paraId="69947D62" w14:textId="77777777" w:rsidR="00AE615B" w:rsidRPr="00AE615B" w:rsidRDefault="00AE615B" w:rsidP="00D2565B">
            <w:pPr>
              <w:pStyle w:val="3GPPText"/>
            </w:pPr>
          </w:p>
        </w:tc>
      </w:tr>
    </w:tbl>
    <w:p w14:paraId="5157F855" w14:textId="3FDC7424" w:rsidR="00AE615B" w:rsidRDefault="00AE615B" w:rsidP="00DF0FE2"/>
    <w:p w14:paraId="4C6BEED8" w14:textId="3535855C" w:rsidR="007A49CE" w:rsidRDefault="000052E0" w:rsidP="00DF0FE2">
      <w:r>
        <w:t>Network efficiency is challenging to define</w:t>
      </w:r>
      <w:r w:rsidR="00BF2FAD">
        <w:t xml:space="preserve"> as it is a relative measure, to be compared in the context of the obtained performance. </w:t>
      </w:r>
      <w:r w:rsidR="002F2ACD">
        <w:t xml:space="preserve">In order to gauge the efficiency of a methods, it is proposed to request results to be deliver along with the </w:t>
      </w:r>
      <w:r w:rsidR="007A49CE">
        <w:t xml:space="preserve">amount of resource used to </w:t>
      </w:r>
      <w:proofErr w:type="spellStart"/>
      <w:r w:rsidR="007A49CE">
        <w:t>obain</w:t>
      </w:r>
      <w:proofErr w:type="spellEnd"/>
      <w:r w:rsidR="007A49CE">
        <w:t xml:space="preserve"> the results. This </w:t>
      </w:r>
      <w:r w:rsidR="00504EE2">
        <w:t>could be in the form of the t</w:t>
      </w:r>
      <w:r w:rsidR="007A49CE">
        <w:t>otal amount of resources used in computation of the results (</w:t>
      </w:r>
      <w:r w:rsidR="00504EE2">
        <w:t xml:space="preserve">i.e. </w:t>
      </w:r>
      <w:r w:rsidR="007A49CE">
        <w:t>number of PRS</w:t>
      </w:r>
      <w:r w:rsidR="00AA3893">
        <w:t>/SRS</w:t>
      </w:r>
      <w:r w:rsidR="007A49CE">
        <w:t xml:space="preserve"> resources and sets, </w:t>
      </w:r>
      <w:proofErr w:type="spellStart"/>
      <w:proofErr w:type="gramStart"/>
      <w:r w:rsidR="00AA3893">
        <w:t>repetitions</w:t>
      </w:r>
      <w:r w:rsidR="0020512F">
        <w:t>,and</w:t>
      </w:r>
      <w:proofErr w:type="spellEnd"/>
      <w:proofErr w:type="gramEnd"/>
      <w:r w:rsidR="0020512F">
        <w:t xml:space="preserve"> periodicity</w:t>
      </w:r>
      <w:r w:rsidR="00504EE2">
        <w:t>)</w:t>
      </w:r>
      <w:r w:rsidR="0020512F">
        <w:t xml:space="preserve">. Another alternative would be to </w:t>
      </w:r>
      <w:r w:rsidR="00BA65E4">
        <w:t xml:space="preserve">directly provide </w:t>
      </w:r>
      <w:r w:rsidR="00050D5E">
        <w:t xml:space="preserve">the percentage </w:t>
      </w:r>
      <w:r w:rsidR="00BA65E4">
        <w:t xml:space="preserve">UL or DL transmission spent on positioning signals. </w:t>
      </w:r>
    </w:p>
    <w:p w14:paraId="6149D9E2" w14:textId="3A79EF4A" w:rsidR="007F7FE8" w:rsidRDefault="007F7FE8" w:rsidP="00EA79ED">
      <w:pPr>
        <w:pStyle w:val="Proposal"/>
      </w:pPr>
      <w:bookmarkStart w:id="13" w:name="_Toc47734443"/>
      <w:r>
        <w:t xml:space="preserve">Network efficiency can be evaluated by complementing simulation results with </w:t>
      </w:r>
      <w:r w:rsidR="009F4F07">
        <w:t xml:space="preserve">the number of resources needed </w:t>
      </w:r>
      <w:r w:rsidR="00EA79ED">
        <w:t>to obtain the results. Alternatively, the percentage of UL/DL transmission dedicated to positioning could be provided.</w:t>
      </w:r>
      <w:bookmarkEnd w:id="13"/>
      <w:r w:rsidR="00EA79ED">
        <w:t xml:space="preserve"> </w:t>
      </w:r>
    </w:p>
    <w:p w14:paraId="3E6632F7" w14:textId="18F9B37E" w:rsidR="007F7FE8" w:rsidRPr="00AE615B" w:rsidRDefault="007F7FE8" w:rsidP="00D2565B">
      <w:pPr>
        <w:pStyle w:val="3GPPText"/>
      </w:pPr>
    </w:p>
    <w:p w14:paraId="24ACC0A8" w14:textId="4ABE6BF0" w:rsidR="008B4F38" w:rsidRDefault="00922238" w:rsidP="00A61E75">
      <w:pPr>
        <w:pStyle w:val="3GPPH1"/>
        <w:numPr>
          <w:ilvl w:val="0"/>
          <w:numId w:val="11"/>
        </w:numPr>
        <w:ind w:left="425" w:hanging="425"/>
      </w:pPr>
      <w:r>
        <w:t>Remaining Issues for scenarios and evaluation assumptions</w:t>
      </w:r>
    </w:p>
    <w:p w14:paraId="4EF6A7CA" w14:textId="382E726F" w:rsidR="003653DC" w:rsidRDefault="003653DC" w:rsidP="0011207D">
      <w:pPr>
        <w:pStyle w:val="Heading2"/>
        <w:numPr>
          <w:ilvl w:val="1"/>
          <w:numId w:val="11"/>
        </w:numPr>
      </w:pPr>
      <w:r>
        <w:t>UE antenna configuration</w:t>
      </w:r>
    </w:p>
    <w:p w14:paraId="0CADFA69" w14:textId="6C2B4223" w:rsidR="00A3727F" w:rsidRDefault="00A3727F" w:rsidP="00B32EA2">
      <w:pPr>
        <w:pStyle w:val="3GPPText"/>
        <w:rPr>
          <w:lang w:val="en-GB"/>
        </w:rPr>
      </w:pPr>
      <w:r>
        <w:rPr>
          <w:lang w:val="en-GB"/>
        </w:rPr>
        <w:t>The following was agreed in RAN#101:</w:t>
      </w:r>
    </w:p>
    <w:p w14:paraId="52953193" w14:textId="77777777" w:rsidR="00CA78E8" w:rsidRDefault="00CA78E8" w:rsidP="00B32EA2">
      <w:pPr>
        <w:pStyle w:val="3GPPText"/>
        <w:rPr>
          <w:lang w:val="en-GB"/>
        </w:rPr>
      </w:pPr>
    </w:p>
    <w:tbl>
      <w:tblPr>
        <w:tblStyle w:val="TableGrid"/>
        <w:tblW w:w="0" w:type="auto"/>
        <w:tblLook w:val="04A0" w:firstRow="1" w:lastRow="0" w:firstColumn="1" w:lastColumn="0" w:noHBand="0" w:noVBand="1"/>
      </w:tblPr>
      <w:tblGrid>
        <w:gridCol w:w="9629"/>
      </w:tblGrid>
      <w:tr w:rsidR="00CA78E8" w14:paraId="76956A74" w14:textId="77777777" w:rsidTr="00CA78E8">
        <w:tc>
          <w:tcPr>
            <w:tcW w:w="9629" w:type="dxa"/>
          </w:tcPr>
          <w:p w14:paraId="79C5E1C5" w14:textId="77777777" w:rsidR="00CA78E8" w:rsidRDefault="00CA78E8" w:rsidP="00CA78E8">
            <w:pPr>
              <w:pStyle w:val="3GPPText"/>
              <w:rPr>
                <w:lang w:val="en-GB"/>
              </w:rPr>
            </w:pPr>
          </w:p>
          <w:tbl>
            <w:tblPr>
              <w:tblW w:w="860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2831"/>
              <w:gridCol w:w="3523"/>
            </w:tblGrid>
            <w:tr w:rsidR="00CA78E8" w14:paraId="7462A0F0" w14:textId="77777777" w:rsidTr="007E30BD">
              <w:trPr>
                <w:trHeight w:val="149"/>
              </w:trPr>
              <w:tc>
                <w:tcPr>
                  <w:tcW w:w="2254" w:type="dxa"/>
                  <w:tcBorders>
                    <w:top w:val="single" w:sz="4" w:space="0" w:color="auto"/>
                    <w:left w:val="single" w:sz="4" w:space="0" w:color="auto"/>
                    <w:bottom w:val="single" w:sz="4" w:space="0" w:color="auto"/>
                    <w:right w:val="single" w:sz="4" w:space="0" w:color="auto"/>
                  </w:tcBorders>
                  <w:vAlign w:val="center"/>
                </w:tcPr>
                <w:p w14:paraId="37732D31" w14:textId="77777777" w:rsidR="00CA78E8" w:rsidRDefault="00CA78E8" w:rsidP="00CA78E8">
                  <w:pPr>
                    <w:pStyle w:val="TAL"/>
                  </w:pPr>
                </w:p>
              </w:tc>
              <w:tc>
                <w:tcPr>
                  <w:tcW w:w="2831" w:type="dxa"/>
                  <w:tcBorders>
                    <w:top w:val="single" w:sz="4" w:space="0" w:color="auto"/>
                    <w:left w:val="single" w:sz="4" w:space="0" w:color="auto"/>
                    <w:bottom w:val="single" w:sz="4" w:space="0" w:color="auto"/>
                    <w:right w:val="single" w:sz="4" w:space="0" w:color="auto"/>
                  </w:tcBorders>
                </w:tcPr>
                <w:p w14:paraId="5899768F" w14:textId="77777777" w:rsidR="00CA78E8" w:rsidRDefault="00CA78E8" w:rsidP="00CA78E8">
                  <w:pPr>
                    <w:pStyle w:val="TAL"/>
                    <w:rPr>
                      <w:szCs w:val="18"/>
                    </w:rPr>
                  </w:pPr>
                  <w:r>
                    <w:rPr>
                      <w:sz w:val="20"/>
                      <w:lang w:eastAsia="zh-CN"/>
                    </w:rPr>
                    <w:t>FR1 Specific Values</w:t>
                  </w:r>
                </w:p>
              </w:tc>
              <w:tc>
                <w:tcPr>
                  <w:tcW w:w="3523" w:type="dxa"/>
                  <w:tcBorders>
                    <w:top w:val="single" w:sz="4" w:space="0" w:color="auto"/>
                    <w:left w:val="single" w:sz="4" w:space="0" w:color="auto"/>
                    <w:bottom w:val="single" w:sz="4" w:space="0" w:color="auto"/>
                    <w:right w:val="single" w:sz="4" w:space="0" w:color="auto"/>
                  </w:tcBorders>
                </w:tcPr>
                <w:p w14:paraId="126629EA" w14:textId="77777777" w:rsidR="00CA78E8" w:rsidRDefault="00CA78E8" w:rsidP="00CA78E8">
                  <w:pPr>
                    <w:pStyle w:val="TAL"/>
                    <w:rPr>
                      <w:szCs w:val="18"/>
                    </w:rPr>
                  </w:pPr>
                  <w:r>
                    <w:rPr>
                      <w:sz w:val="20"/>
                      <w:lang w:eastAsia="zh-CN"/>
                    </w:rPr>
                    <w:t xml:space="preserve">FR2 Specific Values </w:t>
                  </w:r>
                </w:p>
              </w:tc>
            </w:tr>
            <w:tr w:rsidR="00CA78E8" w14:paraId="73E8061E" w14:textId="77777777" w:rsidTr="007E30BD">
              <w:trPr>
                <w:trHeight w:val="2429"/>
              </w:trPr>
              <w:tc>
                <w:tcPr>
                  <w:tcW w:w="2254" w:type="dxa"/>
                  <w:tcBorders>
                    <w:top w:val="single" w:sz="4" w:space="0" w:color="auto"/>
                    <w:left w:val="single" w:sz="4" w:space="0" w:color="auto"/>
                    <w:bottom w:val="single" w:sz="4" w:space="0" w:color="auto"/>
                    <w:right w:val="single" w:sz="4" w:space="0" w:color="auto"/>
                  </w:tcBorders>
                  <w:vAlign w:val="center"/>
                  <w:hideMark/>
                </w:tcPr>
                <w:p w14:paraId="06C51A77" w14:textId="77777777" w:rsidR="00CA78E8" w:rsidRDefault="00CA78E8" w:rsidP="00CA78E8">
                  <w:pPr>
                    <w:pStyle w:val="TAL"/>
                  </w:pPr>
                  <w:r>
                    <w:t>UE antenna configuration</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29503B2" w14:textId="77777777" w:rsidR="00CA78E8" w:rsidRDefault="00CA78E8" w:rsidP="00CA78E8">
                  <w:pPr>
                    <w:pStyle w:val="TAL"/>
                    <w:rPr>
                      <w:szCs w:val="18"/>
                    </w:rPr>
                  </w:pPr>
                  <w:r>
                    <w:rPr>
                      <w:szCs w:val="18"/>
                    </w:rPr>
                    <w:t>Panel model 1 – Note 1</w:t>
                  </w:r>
                </w:p>
                <w:p w14:paraId="39BBB3E8" w14:textId="77777777" w:rsidR="00CA78E8" w:rsidRDefault="00CA78E8" w:rsidP="00CA78E8">
                  <w:pPr>
                    <w:pStyle w:val="TAL"/>
                    <w:rPr>
                      <w:szCs w:val="18"/>
                    </w:rPr>
                  </w:pPr>
                  <w:r>
                    <w:rPr>
                      <w:rStyle w:val="normaltextrun"/>
                      <w:color w:val="181818"/>
                      <w:szCs w:val="18"/>
                    </w:rPr>
                    <w:t xml:space="preserve">Mg = 1, Ng = 1, P = 2, </w:t>
                  </w:r>
                  <w:proofErr w:type="spellStart"/>
                  <w:r>
                    <w:rPr>
                      <w:rStyle w:val="spellingerror"/>
                      <w:color w:val="181818"/>
                      <w:szCs w:val="18"/>
                    </w:rPr>
                    <w:t>dH</w:t>
                  </w:r>
                  <w:proofErr w:type="spellEnd"/>
                  <w:r>
                    <w:rPr>
                      <w:rStyle w:val="normaltextrun"/>
                      <w:color w:val="181818"/>
                      <w:szCs w:val="18"/>
                    </w:rPr>
                    <w:t xml:space="preserve"> = 0.5λ,</w:t>
                  </w:r>
                  <w:r>
                    <w:rPr>
                      <w:color w:val="181818"/>
                      <w:szCs w:val="18"/>
                    </w:rPr>
                    <w:br/>
                  </w:r>
                  <w:r>
                    <w:rPr>
                      <w:rStyle w:val="normaltextrun"/>
                      <w:color w:val="181818"/>
                      <w:szCs w:val="18"/>
                    </w:rPr>
                    <w:t>(M, N, P, Mg, Ng) = (1, 2, 2, 1, 1)</w:t>
                  </w:r>
                </w:p>
              </w:tc>
              <w:tc>
                <w:tcPr>
                  <w:tcW w:w="3523" w:type="dxa"/>
                  <w:tcBorders>
                    <w:top w:val="single" w:sz="4" w:space="0" w:color="auto"/>
                    <w:left w:val="single" w:sz="4" w:space="0" w:color="auto"/>
                    <w:bottom w:val="single" w:sz="4" w:space="0" w:color="auto"/>
                    <w:right w:val="single" w:sz="4" w:space="0" w:color="auto"/>
                  </w:tcBorders>
                </w:tcPr>
                <w:p w14:paraId="70F1A8DD" w14:textId="77777777" w:rsidR="00CA78E8" w:rsidRDefault="00CA78E8" w:rsidP="00CA78E8">
                  <w:pPr>
                    <w:pStyle w:val="TAL"/>
                    <w:rPr>
                      <w:szCs w:val="18"/>
                    </w:rPr>
                  </w:pPr>
                  <w:r>
                    <w:rPr>
                      <w:szCs w:val="18"/>
                    </w:rPr>
                    <w:t>Baseline:</w:t>
                  </w:r>
                </w:p>
                <w:p w14:paraId="01E82179" w14:textId="77777777" w:rsidR="00CA78E8" w:rsidRDefault="00CA78E8" w:rsidP="00CA78E8">
                  <w:pPr>
                    <w:pStyle w:val="TAL"/>
                    <w:rPr>
                      <w:szCs w:val="18"/>
                    </w:rPr>
                  </w:pPr>
                  <w:r>
                    <w:rPr>
                      <w:szCs w:val="18"/>
                    </w:rPr>
                    <w:t>Multi-panel Configuration 1 and Panel Configuration a – Note 1</w:t>
                  </w:r>
                </w:p>
                <w:p w14:paraId="4158C3BF" w14:textId="77777777" w:rsidR="00CA78E8" w:rsidRDefault="00CA78E8" w:rsidP="00CA78E8">
                  <w:pPr>
                    <w:pStyle w:val="B1"/>
                    <w:spacing w:after="0"/>
                    <w:ind w:left="460" w:hanging="230"/>
                    <w:rPr>
                      <w:rFonts w:ascii="Arial" w:hAnsi="Arial"/>
                      <w:sz w:val="18"/>
                      <w:szCs w:val="18"/>
                    </w:rPr>
                  </w:pPr>
                  <w:r>
                    <w:rPr>
                      <w:rFonts w:ascii="Arial" w:hAnsi="Arial"/>
                      <w:sz w:val="18"/>
                      <w:szCs w:val="18"/>
                    </w:rPr>
                    <w:t>-</w:t>
                  </w:r>
                  <w:r>
                    <w:rPr>
                      <w:rFonts w:ascii="Arial" w:hAnsi="Arial"/>
                      <w:sz w:val="18"/>
                      <w:szCs w:val="18"/>
                    </w:rPr>
                    <w:tab/>
                    <w:t xml:space="preserve">Multi-panel Configuration 1: (Mg, Ng) = (1, 2); </w:t>
                  </w:r>
                  <w:proofErr w:type="spellStart"/>
                  <w:r>
                    <w:rPr>
                      <w:rFonts w:ascii="Arial" w:hAnsi="Arial"/>
                      <w:sz w:val="18"/>
                      <w:szCs w:val="18"/>
                    </w:rPr>
                    <w:t>Θ</w:t>
                  </w:r>
                  <w:proofErr w:type="gramStart"/>
                  <w:r>
                    <w:rPr>
                      <w:rFonts w:ascii="Arial" w:hAnsi="Arial"/>
                      <w:sz w:val="18"/>
                      <w:szCs w:val="18"/>
                    </w:rPr>
                    <w:t>mg,ng</w:t>
                  </w:r>
                  <w:proofErr w:type="spellEnd"/>
                  <w:proofErr w:type="gramEnd"/>
                  <w:r>
                    <w:rPr>
                      <w:rFonts w:ascii="Arial" w:hAnsi="Arial"/>
                      <w:sz w:val="18"/>
                      <w:szCs w:val="18"/>
                    </w:rPr>
                    <w:t>=90°; Ω0,1=Ω0,0+180°; (</w:t>
                  </w:r>
                  <w:proofErr w:type="spellStart"/>
                  <w:r>
                    <w:rPr>
                      <w:rFonts w:ascii="Arial" w:hAnsi="Arial"/>
                      <w:sz w:val="18"/>
                      <w:szCs w:val="18"/>
                    </w:rPr>
                    <w:t>dg,H</w:t>
                  </w:r>
                  <w:proofErr w:type="spellEnd"/>
                  <w:r>
                    <w:rPr>
                      <w:rFonts w:ascii="Arial" w:hAnsi="Arial"/>
                      <w:sz w:val="18"/>
                      <w:szCs w:val="18"/>
                    </w:rPr>
                    <w:t xml:space="preserve">, </w:t>
                  </w:r>
                  <w:proofErr w:type="spellStart"/>
                  <w:r>
                    <w:rPr>
                      <w:rFonts w:ascii="Arial" w:hAnsi="Arial"/>
                      <w:sz w:val="18"/>
                      <w:szCs w:val="18"/>
                    </w:rPr>
                    <w:t>dg,V</w:t>
                  </w:r>
                  <w:proofErr w:type="spellEnd"/>
                  <w:r>
                    <w:rPr>
                      <w:rFonts w:ascii="Arial" w:hAnsi="Arial"/>
                      <w:sz w:val="18"/>
                      <w:szCs w:val="18"/>
                    </w:rPr>
                    <w:t>)=(0,0)</w:t>
                  </w:r>
                </w:p>
                <w:p w14:paraId="055A575A" w14:textId="77777777" w:rsidR="00CA78E8" w:rsidRDefault="00CA78E8" w:rsidP="00CA78E8">
                  <w:pPr>
                    <w:pStyle w:val="B1"/>
                    <w:spacing w:after="0"/>
                    <w:ind w:left="460" w:hanging="230"/>
                    <w:rPr>
                      <w:rFonts w:ascii="Arial" w:hAnsi="Arial"/>
                      <w:sz w:val="18"/>
                      <w:szCs w:val="18"/>
                    </w:rPr>
                  </w:pPr>
                  <w:r>
                    <w:rPr>
                      <w:rFonts w:ascii="Arial" w:hAnsi="Arial"/>
                      <w:sz w:val="18"/>
                      <w:szCs w:val="18"/>
                    </w:rPr>
                    <w:t>-</w:t>
                  </w:r>
                  <w:r>
                    <w:rPr>
                      <w:rFonts w:ascii="Arial" w:hAnsi="Arial"/>
                      <w:sz w:val="18"/>
                      <w:szCs w:val="18"/>
                    </w:rPr>
                    <w:tab/>
                    <w:t>Panel Configuration a:</w:t>
                  </w:r>
                </w:p>
                <w:p w14:paraId="75D5BD75" w14:textId="77777777" w:rsidR="00CA78E8" w:rsidRDefault="00CA78E8" w:rsidP="00CA78E8">
                  <w:pPr>
                    <w:pStyle w:val="B2"/>
                    <w:spacing w:after="0"/>
                    <w:ind w:left="689" w:hanging="230"/>
                    <w:rPr>
                      <w:rFonts w:ascii="Arial" w:hAnsi="Arial"/>
                      <w:sz w:val="18"/>
                      <w:szCs w:val="18"/>
                    </w:rPr>
                  </w:pPr>
                  <w:r>
                    <w:rPr>
                      <w:rFonts w:ascii="Arial" w:hAnsi="Arial"/>
                      <w:sz w:val="18"/>
                      <w:szCs w:val="18"/>
                    </w:rPr>
                    <w:t>-</w:t>
                  </w:r>
                  <w:r>
                    <w:rPr>
                      <w:rFonts w:ascii="Arial" w:hAnsi="Arial"/>
                      <w:sz w:val="18"/>
                      <w:szCs w:val="18"/>
                    </w:rPr>
                    <w:tab/>
                    <w:t xml:space="preserve">Each antenna array has shape </w:t>
                  </w:r>
                  <w:proofErr w:type="spellStart"/>
                  <w:r>
                    <w:rPr>
                      <w:rFonts w:ascii="Arial" w:hAnsi="Arial"/>
                      <w:sz w:val="18"/>
                      <w:szCs w:val="18"/>
                    </w:rPr>
                    <w:t>dH</w:t>
                  </w:r>
                  <w:proofErr w:type="spellEnd"/>
                  <w:r>
                    <w:rPr>
                      <w:rFonts w:ascii="Arial" w:hAnsi="Arial"/>
                      <w:sz w:val="18"/>
                      <w:szCs w:val="18"/>
                    </w:rPr>
                    <w:t>=</w:t>
                  </w:r>
                  <w:proofErr w:type="spellStart"/>
                  <w:r>
                    <w:rPr>
                      <w:rFonts w:ascii="Arial" w:hAnsi="Arial"/>
                      <w:sz w:val="18"/>
                      <w:szCs w:val="18"/>
                    </w:rPr>
                    <w:t>dV</w:t>
                  </w:r>
                  <w:proofErr w:type="spellEnd"/>
                  <w:r>
                    <w:rPr>
                      <w:rFonts w:ascii="Arial" w:hAnsi="Arial"/>
                      <w:sz w:val="18"/>
                      <w:szCs w:val="18"/>
                    </w:rPr>
                    <w:t>=0.5λ</w:t>
                  </w:r>
                </w:p>
                <w:p w14:paraId="23D22053" w14:textId="77777777" w:rsidR="00CA78E8" w:rsidRDefault="00CA78E8" w:rsidP="00CA78E8">
                  <w:pPr>
                    <w:pStyle w:val="B2"/>
                    <w:spacing w:after="0"/>
                    <w:ind w:left="689" w:hanging="230"/>
                    <w:rPr>
                      <w:rFonts w:ascii="Arial" w:hAnsi="Arial"/>
                      <w:sz w:val="18"/>
                      <w:szCs w:val="18"/>
                    </w:rPr>
                  </w:pPr>
                  <w:r>
                    <w:rPr>
                      <w:rFonts w:ascii="Arial" w:hAnsi="Arial"/>
                      <w:sz w:val="18"/>
                      <w:szCs w:val="18"/>
                    </w:rPr>
                    <w:t>-</w:t>
                  </w:r>
                  <w:r>
                    <w:rPr>
                      <w:rFonts w:ascii="Arial" w:hAnsi="Arial"/>
                      <w:sz w:val="18"/>
                      <w:szCs w:val="18"/>
                    </w:rPr>
                    <w:tab/>
                    <w:t>Config a: (M, N, P) = (2, 4, 2),</w:t>
                  </w:r>
                </w:p>
                <w:p w14:paraId="4F2EDC81" w14:textId="77777777" w:rsidR="00CA78E8" w:rsidRDefault="00CA78E8" w:rsidP="00CA78E8">
                  <w:pPr>
                    <w:pStyle w:val="B2"/>
                    <w:spacing w:after="0"/>
                    <w:ind w:left="689" w:hanging="230"/>
                    <w:rPr>
                      <w:rFonts w:ascii="Arial" w:hAnsi="Arial"/>
                      <w:sz w:val="18"/>
                      <w:szCs w:val="18"/>
                    </w:rPr>
                  </w:pPr>
                  <w:r>
                    <w:rPr>
                      <w:rFonts w:ascii="Arial" w:hAnsi="Arial"/>
                      <w:sz w:val="18"/>
                      <w:szCs w:val="18"/>
                    </w:rPr>
                    <w:t>-</w:t>
                  </w:r>
                  <w:r>
                    <w:rPr>
                      <w:rFonts w:ascii="Arial" w:hAnsi="Arial"/>
                      <w:sz w:val="18"/>
                      <w:szCs w:val="18"/>
                    </w:rPr>
                    <w:tab/>
                    <w:t>the polarization angles are 0° and 90°</w:t>
                  </w:r>
                </w:p>
                <w:p w14:paraId="53CE1E39" w14:textId="77777777" w:rsidR="00CA78E8" w:rsidRDefault="00CA78E8" w:rsidP="00CA78E8">
                  <w:pPr>
                    <w:pStyle w:val="B2"/>
                    <w:spacing w:after="0"/>
                    <w:ind w:left="689" w:hanging="230"/>
                    <w:rPr>
                      <w:rFonts w:ascii="Arial" w:hAnsi="Arial"/>
                      <w:sz w:val="18"/>
                      <w:szCs w:val="18"/>
                    </w:rPr>
                  </w:pPr>
                  <w:r>
                    <w:rPr>
                      <w:rFonts w:ascii="Arial" w:hAnsi="Arial"/>
                      <w:sz w:val="18"/>
                      <w:szCs w:val="18"/>
                    </w:rPr>
                    <w:t>-</w:t>
                  </w:r>
                  <w:r>
                    <w:rPr>
                      <w:rFonts w:ascii="Arial" w:hAnsi="Arial"/>
                      <w:sz w:val="18"/>
                      <w:szCs w:val="18"/>
                    </w:rPr>
                    <w:tab/>
                    <w:t>The antenna elements of the same polarization of the same panel is virtualized into one TXRU</w:t>
                  </w:r>
                </w:p>
                <w:p w14:paraId="256A56FC" w14:textId="77777777" w:rsidR="00CA78E8" w:rsidRDefault="00CA78E8" w:rsidP="00CA78E8">
                  <w:pPr>
                    <w:pStyle w:val="B2"/>
                    <w:spacing w:after="0"/>
                    <w:ind w:left="689" w:hanging="230"/>
                    <w:rPr>
                      <w:rFonts w:ascii="Arial" w:hAnsi="Arial"/>
                      <w:sz w:val="18"/>
                      <w:szCs w:val="18"/>
                    </w:rPr>
                  </w:pPr>
                </w:p>
                <w:p w14:paraId="7B97D90F" w14:textId="0E4EFD22" w:rsidR="00CA78E8" w:rsidRDefault="00CA78E8" w:rsidP="00CA78E8">
                  <w:pPr>
                    <w:pStyle w:val="B2"/>
                    <w:spacing w:after="0"/>
                    <w:ind w:left="689" w:hanging="230"/>
                    <w:rPr>
                      <w:rFonts w:ascii="Arial" w:hAnsi="Arial"/>
                      <w:sz w:val="18"/>
                      <w:szCs w:val="18"/>
                    </w:rPr>
                  </w:pPr>
                  <w:r>
                    <w:rPr>
                      <w:rFonts w:ascii="Arial" w:hAnsi="Arial"/>
                      <w:sz w:val="18"/>
                      <w:szCs w:val="18"/>
                    </w:rPr>
                    <w:t xml:space="preserve">Optional: FFS </w:t>
                  </w:r>
                </w:p>
                <w:p w14:paraId="0B6F1AA6" w14:textId="77777777" w:rsidR="00CA78E8" w:rsidRDefault="00CA78E8" w:rsidP="00CA78E8">
                  <w:pPr>
                    <w:pStyle w:val="B2"/>
                    <w:spacing w:after="0"/>
                    <w:ind w:left="0" w:firstLine="0"/>
                    <w:rPr>
                      <w:rFonts w:ascii="Arial" w:hAnsi="Arial"/>
                      <w:sz w:val="18"/>
                      <w:szCs w:val="18"/>
                    </w:rPr>
                  </w:pPr>
                </w:p>
                <w:p w14:paraId="405E1212" w14:textId="77777777" w:rsidR="00CA78E8" w:rsidRDefault="00CA78E8" w:rsidP="00CA78E8">
                  <w:pPr>
                    <w:pStyle w:val="B2"/>
                    <w:spacing w:after="0"/>
                    <w:rPr>
                      <w:rFonts w:ascii="Arial" w:hAnsi="Arial"/>
                      <w:sz w:val="18"/>
                      <w:szCs w:val="18"/>
                    </w:rPr>
                  </w:pPr>
                </w:p>
              </w:tc>
            </w:tr>
          </w:tbl>
          <w:p w14:paraId="273F94FA" w14:textId="77777777" w:rsidR="00CA78E8" w:rsidRDefault="00CA78E8" w:rsidP="00CA78E8">
            <w:pPr>
              <w:rPr>
                <w:highlight w:val="green"/>
                <w:lang w:eastAsia="x-none"/>
              </w:rPr>
            </w:pPr>
          </w:p>
          <w:p w14:paraId="4D42F9D6" w14:textId="77777777" w:rsidR="00CA78E8" w:rsidRDefault="00CA78E8" w:rsidP="00CA78E8">
            <w:pPr>
              <w:rPr>
                <w:lang w:eastAsia="x-none"/>
              </w:rPr>
            </w:pPr>
            <w:r>
              <w:rPr>
                <w:highlight w:val="green"/>
                <w:lang w:eastAsia="x-none"/>
              </w:rPr>
              <w:t>Agreement:</w:t>
            </w:r>
          </w:p>
          <w:p w14:paraId="1D77575E" w14:textId="77777777" w:rsidR="00CA78E8" w:rsidRDefault="00CA78E8" w:rsidP="00CA78E8">
            <w:pPr>
              <w:rPr>
                <w:lang w:eastAsia="x-none"/>
              </w:rPr>
            </w:pPr>
            <w:r>
              <w:rPr>
                <w:lang w:eastAsia="x-none"/>
              </w:rPr>
              <w:lastRenderedPageBreak/>
              <w:t>Optional: The following UE antenna configuration can be considered</w:t>
            </w:r>
          </w:p>
          <w:p w14:paraId="065F75B6" w14:textId="77777777" w:rsidR="00CA78E8" w:rsidRDefault="00CA78E8" w:rsidP="00FA0B7D">
            <w:pPr>
              <w:numPr>
                <w:ilvl w:val="0"/>
                <w:numId w:val="24"/>
              </w:numPr>
              <w:rPr>
                <w:lang w:eastAsia="x-none"/>
              </w:rPr>
            </w:pPr>
            <w:r>
              <w:rPr>
                <w:lang w:eastAsia="x-none"/>
              </w:rPr>
              <w:t>4 UE panels:</w:t>
            </w:r>
          </w:p>
          <w:p w14:paraId="17338250" w14:textId="77777777" w:rsidR="00CA78E8" w:rsidRDefault="00CA78E8" w:rsidP="00FA0B7D">
            <w:pPr>
              <w:numPr>
                <w:ilvl w:val="1"/>
                <w:numId w:val="24"/>
              </w:numPr>
              <w:rPr>
                <w:lang w:eastAsia="x-none"/>
              </w:rPr>
            </w:pPr>
            <w:r>
              <w:rPr>
                <w:lang w:eastAsia="x-none"/>
              </w:rPr>
              <w:t>The antenna elements of the same polarization of the same panel is virtualized into one TXRU</w:t>
            </w:r>
          </w:p>
          <w:p w14:paraId="2E1AFD92" w14:textId="77777777" w:rsidR="00CA78E8" w:rsidRDefault="00CA78E8" w:rsidP="00FA0B7D">
            <w:pPr>
              <w:numPr>
                <w:ilvl w:val="0"/>
                <w:numId w:val="24"/>
              </w:numPr>
              <w:rPr>
                <w:lang w:eastAsia="x-none"/>
              </w:rPr>
            </w:pPr>
            <w:r>
              <w:rPr>
                <w:lang w:eastAsia="x-none"/>
              </w:rPr>
              <w:t>FFS: Other details</w:t>
            </w:r>
          </w:p>
          <w:p w14:paraId="5C7EA0F4" w14:textId="77777777" w:rsidR="00CA78E8" w:rsidRDefault="00CA78E8" w:rsidP="00CA78E8">
            <w:pPr>
              <w:pStyle w:val="3GPPText"/>
              <w:rPr>
                <w:lang w:val="en-GB"/>
              </w:rPr>
            </w:pPr>
          </w:p>
          <w:p w14:paraId="20B2633A" w14:textId="77777777" w:rsidR="00CA78E8" w:rsidRDefault="00CA78E8" w:rsidP="00B32EA2">
            <w:pPr>
              <w:pStyle w:val="3GPPText"/>
              <w:rPr>
                <w:lang w:val="en-GB"/>
              </w:rPr>
            </w:pPr>
          </w:p>
        </w:tc>
      </w:tr>
    </w:tbl>
    <w:p w14:paraId="45209122" w14:textId="77777777" w:rsidR="00A3727F" w:rsidRDefault="00A3727F" w:rsidP="00B32EA2">
      <w:pPr>
        <w:pStyle w:val="3GPPText"/>
        <w:rPr>
          <w:lang w:val="en-GB"/>
        </w:rPr>
      </w:pPr>
    </w:p>
    <w:p w14:paraId="1AA810B8" w14:textId="77777777" w:rsidR="00A3727F" w:rsidRDefault="00A3727F" w:rsidP="00B32EA2">
      <w:pPr>
        <w:pStyle w:val="3GPPText"/>
        <w:rPr>
          <w:lang w:val="en-GB"/>
        </w:rPr>
      </w:pPr>
    </w:p>
    <w:p w14:paraId="24293C06" w14:textId="6A950D2B" w:rsidR="00B32EA2" w:rsidRPr="009C2925" w:rsidRDefault="00B32EA2" w:rsidP="009C2925">
      <w:pPr>
        <w:jc w:val="both"/>
        <w:rPr>
          <w:rFonts w:cstheme="minorHAnsi"/>
          <w:lang w:val="en-GB"/>
        </w:rPr>
      </w:pPr>
      <w:r w:rsidRPr="009C2925">
        <w:rPr>
          <w:rFonts w:cstheme="minorHAnsi"/>
          <w:lang w:val="en-GB"/>
        </w:rPr>
        <w:t xml:space="preserve">In the Rel. 16 positioning evaluations, the simulation assumptions were based on early assumptions about NR UE design from the time before the specification of the NR standard and before any deployment of NR. We now have knowledge about actual NR UE </w:t>
      </w:r>
      <w:proofErr w:type="gramStart"/>
      <w:r w:rsidRPr="009C2925">
        <w:rPr>
          <w:rFonts w:cstheme="minorHAnsi"/>
          <w:lang w:val="en-GB"/>
        </w:rPr>
        <w:t>designs</w:t>
      </w:r>
      <w:proofErr w:type="gramEnd"/>
      <w:r w:rsidRPr="009C2925">
        <w:rPr>
          <w:rFonts w:cstheme="minorHAnsi"/>
          <w:lang w:val="en-GB"/>
        </w:rPr>
        <w:t xml:space="preserve"> and we should modify the simulation assumptions accordingly.  </w:t>
      </w:r>
      <w:r w:rsidRPr="009C2925">
        <w:rPr>
          <w:rFonts w:cstheme="minorHAnsi"/>
          <w:lang w:val="en-GB"/>
        </w:rPr>
        <w:fldChar w:fldCharType="begin"/>
      </w:r>
      <w:r w:rsidRPr="009C2925">
        <w:rPr>
          <w:rFonts w:cstheme="minorHAnsi"/>
          <w:lang w:val="en-GB"/>
        </w:rPr>
        <w:instrText xml:space="preserve"> REF _Ref40357083 \h </w:instrText>
      </w:r>
      <w:r w:rsidR="009C2925" w:rsidRPr="009C2925">
        <w:rPr>
          <w:rFonts w:cstheme="minorHAnsi"/>
          <w:lang w:val="en-GB"/>
        </w:rPr>
        <w:instrText xml:space="preserve"> \* MERGEFORMAT </w:instrText>
      </w:r>
      <w:r w:rsidRPr="009C2925">
        <w:rPr>
          <w:rFonts w:cstheme="minorHAnsi"/>
          <w:lang w:val="en-GB"/>
        </w:rPr>
      </w:r>
      <w:r w:rsidRPr="009C2925">
        <w:rPr>
          <w:rFonts w:cstheme="minorHAnsi"/>
          <w:lang w:val="en-GB"/>
        </w:rPr>
        <w:fldChar w:fldCharType="separate"/>
      </w:r>
      <w:r w:rsidRPr="009C2925">
        <w:rPr>
          <w:rFonts w:cstheme="minorHAnsi"/>
        </w:rPr>
        <w:t xml:space="preserve">Figure </w:t>
      </w:r>
      <w:r w:rsidRPr="009C2925">
        <w:rPr>
          <w:rFonts w:cstheme="minorHAnsi"/>
          <w:noProof/>
        </w:rPr>
        <w:t>5</w:t>
      </w:r>
      <w:r w:rsidRPr="009C2925">
        <w:rPr>
          <w:rFonts w:cstheme="minorHAnsi"/>
          <w:lang w:val="en-GB"/>
        </w:rPr>
        <w:fldChar w:fldCharType="end"/>
      </w:r>
      <w:r w:rsidRPr="009C2925">
        <w:rPr>
          <w:rFonts w:cstheme="minorHAnsi"/>
          <w:lang w:val="en-GB"/>
        </w:rPr>
        <w:t xml:space="preserve"> shows the UE antenna layout for FR2 we propose to be included as part of evaluation assumptions for the Rel-17 NR positioning study item.</w:t>
      </w:r>
    </w:p>
    <w:p w14:paraId="5CF06834" w14:textId="77777777" w:rsidR="00B32EA2" w:rsidRPr="009C2925" w:rsidRDefault="00B32EA2" w:rsidP="009C2925">
      <w:pPr>
        <w:jc w:val="both"/>
        <w:rPr>
          <w:rFonts w:cstheme="minorHAnsi"/>
        </w:rPr>
      </w:pPr>
      <w:r w:rsidRPr="009C2925">
        <w:rPr>
          <w:rFonts w:cstheme="minorHAnsi"/>
          <w:i/>
          <w:iCs/>
          <w:noProof/>
        </w:rPr>
        <mc:AlternateContent>
          <mc:Choice Requires="wpc">
            <w:drawing>
              <wp:inline distT="0" distB="0" distL="0" distR="0" wp14:anchorId="201966ED" wp14:editId="098E4E45">
                <wp:extent cx="5486400" cy="2267712"/>
                <wp:effectExtent l="0" t="0" r="0"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 name="Group 3"/>
                        <wpg:cNvGrpSpPr/>
                        <wpg:grpSpPr>
                          <a:xfrm>
                            <a:off x="2118529" y="892416"/>
                            <a:ext cx="1482424" cy="515230"/>
                            <a:chOff x="0" y="-992"/>
                            <a:chExt cx="1482424" cy="515486"/>
                          </a:xfrm>
                        </wpg:grpSpPr>
                        <wpg:grpSp>
                          <wpg:cNvPr id="4" name="Group 4"/>
                          <wpg:cNvGrpSpPr/>
                          <wpg:grpSpPr>
                            <a:xfrm>
                              <a:off x="574315" y="124484"/>
                              <a:ext cx="908109" cy="266978"/>
                              <a:chOff x="574315" y="124484"/>
                              <a:chExt cx="908109" cy="266978"/>
                            </a:xfrm>
                          </wpg:grpSpPr>
                          <wps:wsp>
                            <wps:cNvPr id="5" name="Rectangle 5"/>
                            <wps:cNvSpPr/>
                            <wps:spPr>
                              <a:xfrm rot="16200000">
                                <a:off x="909509" y="-194152"/>
                                <a:ext cx="241582" cy="90424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7" name="Group 7"/>
                            <wpg:cNvGrpSpPr/>
                            <wpg:grpSpPr>
                              <a:xfrm rot="2700000">
                                <a:off x="574315" y="124484"/>
                                <a:ext cx="266978" cy="266978"/>
                                <a:chOff x="574315" y="124484"/>
                                <a:chExt cx="266978" cy="266978"/>
                              </a:xfrm>
                            </wpg:grpSpPr>
                            <wps:wsp>
                              <wps:cNvPr id="9" name="Straight Connector 9"/>
                              <wps:cNvCnPr/>
                              <wps:spPr bwMode="auto">
                                <a:xfrm>
                                  <a:off x="70780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0" name="Straight Connector 10"/>
                              <wps:cNvCnPr>
                                <a:cxnSpLocks/>
                              </wps:cNvCnPr>
                              <wps:spPr bwMode="auto">
                                <a:xfrm rot="16200000">
                                  <a:off x="70780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2" name="Group 12"/>
                            <wpg:cNvGrpSpPr/>
                            <wpg:grpSpPr>
                              <a:xfrm rot="2700000">
                                <a:off x="778375" y="124484"/>
                                <a:ext cx="266978" cy="266978"/>
                                <a:chOff x="778375" y="124484"/>
                                <a:chExt cx="266978" cy="266978"/>
                              </a:xfrm>
                            </wpg:grpSpPr>
                            <wps:wsp>
                              <wps:cNvPr id="14" name="Straight Connector 14"/>
                              <wps:cNvCnPr/>
                              <wps:spPr bwMode="auto">
                                <a:xfrm>
                                  <a:off x="91186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6" name="Straight Connector 16"/>
                              <wps:cNvCnPr>
                                <a:cxnSpLocks/>
                              </wps:cNvCnPr>
                              <wps:spPr bwMode="auto">
                                <a:xfrm rot="16200000">
                                  <a:off x="91186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8" name="Group 18"/>
                            <wpg:cNvGrpSpPr/>
                            <wpg:grpSpPr>
                              <a:xfrm rot="2700000">
                                <a:off x="982435" y="124484"/>
                                <a:ext cx="266978" cy="266978"/>
                                <a:chOff x="982435" y="124484"/>
                                <a:chExt cx="266978" cy="266978"/>
                              </a:xfrm>
                            </wpg:grpSpPr>
                            <wps:wsp>
                              <wps:cNvPr id="22" name="Straight Connector 22"/>
                              <wps:cNvCnPr/>
                              <wps:spPr bwMode="auto">
                                <a:xfrm>
                                  <a:off x="111592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3" name="Straight Connector 23"/>
                              <wps:cNvCnPr>
                                <a:cxnSpLocks/>
                              </wps:cNvCnPr>
                              <wps:spPr bwMode="auto">
                                <a:xfrm rot="16200000">
                                  <a:off x="111592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24" name="Group 24"/>
                            <wpg:cNvGrpSpPr/>
                            <wpg:grpSpPr>
                              <a:xfrm rot="2700000">
                                <a:off x="1186495" y="124484"/>
                                <a:ext cx="266978" cy="266978"/>
                                <a:chOff x="1186495" y="124484"/>
                                <a:chExt cx="266978" cy="266978"/>
                              </a:xfrm>
                            </wpg:grpSpPr>
                            <wps:wsp>
                              <wps:cNvPr id="25" name="Straight Connector 25"/>
                              <wps:cNvCnPr/>
                              <wps:spPr bwMode="auto">
                                <a:xfrm>
                                  <a:off x="131998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6" name="Straight Connector 26"/>
                              <wps:cNvCnPr>
                                <a:cxnSpLocks/>
                              </wps:cNvCnPr>
                              <wps:spPr bwMode="auto">
                                <a:xfrm rot="16200000">
                                  <a:off x="131998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s:wsp>
                          <wps:cNvPr id="27" name="TextBox 36"/>
                          <wps:cNvSpPr txBox="1"/>
                          <wps:spPr>
                            <a:xfrm>
                              <a:off x="0" y="-992"/>
                              <a:ext cx="403715" cy="515486"/>
                            </a:xfrm>
                            <a:prstGeom prst="rect">
                              <a:avLst/>
                            </a:prstGeom>
                          </wps:spPr>
                          <wps:txbx>
                            <w:txbxContent>
                              <w:p w14:paraId="48A4D88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r>
                                  <w:rPr>
                                    <w:rFonts w:hAnsi="Calibri"/>
                                    <w:color w:val="000000" w:themeColor="text1"/>
                                    <w:spacing w:val="-6"/>
                                    <w:kern w:val="20"/>
                                    <w:sz w:val="40"/>
                                    <w:szCs w:val="40"/>
                                  </w:rPr>
                                  <w:t>:</w:t>
                                </w:r>
                              </w:p>
                            </w:txbxContent>
                          </wps:txbx>
                          <wps:bodyPr vert="horz" wrap="none" lIns="72000" tIns="36000" rIns="72000" bIns="36000" rtlCol="0" anchor="ctr">
                            <a:noAutofit/>
                          </wps:bodyPr>
                        </wps:wsp>
                      </wpg:wgp>
                      <wpg:wgp>
                        <wpg:cNvPr id="28" name="Group 28"/>
                        <wpg:cNvGrpSpPr/>
                        <wpg:grpSpPr>
                          <a:xfrm>
                            <a:off x="0" y="95096"/>
                            <a:ext cx="1721073" cy="2106295"/>
                            <a:chOff x="0" y="0"/>
                            <a:chExt cx="1905410" cy="2331892"/>
                          </a:xfrm>
                        </wpg:grpSpPr>
                        <wps:wsp>
                          <wps:cNvPr id="29" name="Freeform 7"/>
                          <wps:cNvSpPr/>
                          <wps:spPr>
                            <a:xfrm>
                              <a:off x="543321" y="609290"/>
                              <a:ext cx="739507" cy="1184825"/>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0" name="Rectangle 30"/>
                          <wps:cNvSpPr/>
                          <wps:spPr>
                            <a:xfrm>
                              <a:off x="468270"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282831"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Box 14"/>
                          <wps:cNvSpPr txBox="1"/>
                          <wps:spPr bwMode="auto">
                            <a:xfrm>
                              <a:off x="0" y="899927"/>
                              <a:ext cx="557612" cy="515945"/>
                            </a:xfrm>
                            <a:prstGeom prst="rect">
                              <a:avLst/>
                            </a:prstGeom>
                            <a:noFill/>
                            <a:ln w="9525">
                              <a:noFill/>
                              <a:miter lim="800000"/>
                              <a:headEnd/>
                              <a:tailEnd/>
                            </a:ln>
                          </wps:spPr>
                          <wps:txbx>
                            <w:txbxContent>
                              <w:p w14:paraId="7712D754"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wps:txbx>
                          <wps:bodyPr vert="horz" wrap="square" lIns="0" tIns="0" rIns="0" bIns="0" numCol="1" rtlCol="0" anchor="ctr" anchorCtr="0" compatLnSpc="1">
                            <a:prstTxWarp prst="textNoShape">
                              <a:avLst/>
                            </a:prstTxWarp>
                            <a:noAutofit/>
                          </wps:bodyPr>
                        </wps:wsp>
                        <wps:wsp>
                          <wps:cNvPr id="33" name="TextBox 15"/>
                          <wps:cNvSpPr txBox="1"/>
                          <wps:spPr bwMode="auto">
                            <a:xfrm>
                              <a:off x="633446" y="0"/>
                              <a:ext cx="557612" cy="515944"/>
                            </a:xfrm>
                            <a:prstGeom prst="rect">
                              <a:avLst/>
                            </a:prstGeom>
                            <a:noFill/>
                            <a:ln w="9525">
                              <a:noFill/>
                              <a:miter lim="800000"/>
                              <a:headEnd/>
                              <a:tailEnd/>
                            </a:ln>
                          </wps:spPr>
                          <wps:txbx>
                            <w:txbxContent>
                              <w:p w14:paraId="28DBA52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wps:txbx>
                          <wps:bodyPr vert="horz" wrap="square" lIns="0" tIns="0" rIns="0" bIns="0" numCol="1" rtlCol="0" anchor="ctr" anchorCtr="0" compatLnSpc="1">
                            <a:prstTxWarp prst="textNoShape">
                              <a:avLst/>
                            </a:prstTxWarp>
                            <a:noAutofit/>
                          </wps:bodyPr>
                        </wps:wsp>
                        <wps:wsp>
                          <wps:cNvPr id="34" name="Rectangle 34"/>
                          <wps:cNvSpPr/>
                          <wps:spPr>
                            <a:xfrm rot="16200000">
                              <a:off x="865504" y="289158"/>
                              <a:ext cx="75052" cy="51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rot="16200000">
                              <a:off x="875549" y="1582179"/>
                              <a:ext cx="75051" cy="5159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Box 18"/>
                          <wps:cNvSpPr txBox="1"/>
                          <wps:spPr bwMode="auto">
                            <a:xfrm>
                              <a:off x="1347797" y="940480"/>
                              <a:ext cx="557613" cy="515944"/>
                            </a:xfrm>
                            <a:prstGeom prst="rect">
                              <a:avLst/>
                            </a:prstGeom>
                            <a:noFill/>
                            <a:ln w="9525">
                              <a:noFill/>
                              <a:miter lim="800000"/>
                              <a:headEnd/>
                              <a:tailEnd/>
                            </a:ln>
                          </wps:spPr>
                          <wps:txbx>
                            <w:txbxContent>
                              <w:p w14:paraId="0D5AC75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wps:txbx>
                          <wps:bodyPr vert="horz" wrap="square" lIns="0" tIns="0" rIns="0" bIns="0" numCol="1" rtlCol="0" anchor="ctr" anchorCtr="0" compatLnSpc="1">
                            <a:prstTxWarp prst="textNoShape">
                              <a:avLst/>
                            </a:prstTxWarp>
                            <a:noAutofit/>
                          </wps:bodyPr>
                        </wps:wsp>
                        <wps:wsp>
                          <wps:cNvPr id="37" name="TextBox 19"/>
                          <wps:cNvSpPr txBox="1"/>
                          <wps:spPr bwMode="auto">
                            <a:xfrm>
                              <a:off x="643234" y="1873735"/>
                              <a:ext cx="557612" cy="458157"/>
                            </a:xfrm>
                            <a:prstGeom prst="rect">
                              <a:avLst/>
                            </a:prstGeom>
                            <a:noFill/>
                            <a:ln w="9525">
                              <a:noFill/>
                              <a:miter lim="800000"/>
                              <a:headEnd/>
                              <a:tailEnd/>
                            </a:ln>
                          </wps:spPr>
                          <wps:txbx>
                            <w:txbxContent>
                              <w:p w14:paraId="6E9D5094"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wps:txbx>
                          <wps:bodyPr vert="horz" wrap="square" lIns="0" tIns="0" rIns="0" bIns="0" numCol="1" rtlCol="0" anchor="ctr" anchorCtr="0" compatLnSpc="1">
                            <a:prstTxWarp prst="textNoShape">
                              <a:avLst/>
                            </a:prstTxWarp>
                            <a:noAutofit/>
                          </wps:bodyPr>
                        </wps:wsp>
                      </wpg:wgp>
                    </wpc:wpc>
                  </a:graphicData>
                </a:graphic>
              </wp:inline>
            </w:drawing>
          </mc:Choice>
          <mc:Fallback>
            <w:pict>
              <v:group w14:anchorId="201966ED" id="Canvas 38" o:spid="_x0000_s1026" editas="canvas" style="width:6in;height:178.55pt;mso-position-horizontal-relative:char;mso-position-vertical-relative:line" coordsize="54864,226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675;visibility:visible;mso-wrap-style:square" filled="t">
                  <v:fill o:detectmouseclick="t"/>
                  <v:path o:connecttype="none"/>
                </v:shape>
                <v:group id="Group 3" o:spid="_x0000_s1028" style="position:absolute;left:21185;top:8924;width:14824;height:5152" coordorigin=",-9" coordsize="14824,5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group id="Group 4" o:spid="_x0000_s1029" style="position:absolute;left:5743;top:1244;width:9081;height:2670" coordorigin="5743,1244" coordsize="9081,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rect id="Rectangle 5" o:spid="_x0000_s1030" style="position:absolute;left:9095;top:-1943;width:2416;height:904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" fillcolor="#4472c4 [3204]" strokecolor="#1f3763 [1604]" strokeweight="1pt"/>
                    <v:group id="Group 7" o:spid="_x0000_s1031" style="position:absolute;left:5743;top:1244;width:2670;height:2669;rotation:45" coordorigin="5743,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">
                      <v:line id="Straight Connector 9" o:spid="_x0000_s1032" style="position:absolute;visibility:visible;mso-wrap-style:square" from="7078,1244" to="707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" filled="t" fillcolor="#4472c4 [3204]" strokecolor="black [3213]" strokeweight="1pt"/>
                      <v:line id="Straight Connector 10" o:spid="_x0000_s1033" style="position:absolute;rotation:-90;visibility:visible;mso-wrap-style:square" from="7078,1244" to="7078,39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" filled="t" fillcolor="#4472c4 [3204]" strokecolor="black [3213]" strokeweight="1pt">
                        <o:lock v:ext="edit" shapetype="f"/>
                      </v:line>
                    </v:group>
                    <v:group id="Group 12" o:spid="_x0000_s1034" style="position:absolute;left:7783;top:1244;width:2670;height:2670;rotation:45" coordorigin="7783,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">
                      <v:line id="Straight Connector 14" o:spid="_x0000_s1035" style="position:absolute;visibility:visible;mso-wrap-style:square" from="9118,1244" to="911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" filled="t" fillcolor="#4472c4 [3204]" strokecolor="black [3213]" strokeweight="1pt"/>
                      <v:line id="Straight Connector 16" o:spid="_x0000_s1036" style="position:absolute;rotation:-90;visibility:visible;mso-wrap-style:square" from="9118,1244" to="911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" filled="t" fillcolor="#4472c4 [3204]" strokecolor="black [3213]" strokeweight="1pt">
                        <o:lock v:ext="edit" shapetype="f"/>
                      </v:line>
                    </v:group>
                    <v:group id="Group 18" o:spid="_x0000_s1037" style="position:absolute;left:9824;top:1244;width:2670;height:2670;rotation:45" coordorigin="9824,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">
                      <v:line id="Straight Connector 22" o:spid="_x0000_s1038" style="position:absolute;visibility:visible;mso-wrap-style:square" from="11159,1244" to="1115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" filled="t" fillcolor="#4472c4 [3204]" strokecolor="black [3213]" strokeweight="1pt"/>
                      <v:line id="Straight Connector 23" o:spid="_x0000_s1039" style="position:absolute;rotation:-90;visibility:visible;mso-wrap-style:square" from="11159,1244" to="1115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" filled="t" fillcolor="#4472c4 [3204]" strokecolor="black [3213]" strokeweight="1pt">
                        <o:lock v:ext="edit" shapetype="f"/>
                      </v:line>
                    </v:group>
                    <v:group id="Group 24" o:spid="_x0000_s1040" style="position:absolute;left:11864;top:1244;width:2670;height:2670;rotation:45" coordorigin="11864,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">
                      <v:line id="Straight Connector 25" o:spid="_x0000_s1041" style="position:absolute;visibility:visible;mso-wrap-style:square" from="13199,1244" to="1319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" filled="t" fillcolor="#4472c4 [3204]" strokecolor="black [3213]" strokeweight="1pt"/>
                      <v:line id="Straight Connector 26" o:spid="_x0000_s1042" style="position:absolute;rotation:-90;visibility:visible;mso-wrap-style:square" from="13199,1244" to="1319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" filled="t" fillcolor="#4472c4 [3204]" strokecolor="black [3213]" strokeweight="1pt">
                        <o:lock v:ext="edit" shapetype="f"/>
                      </v:line>
                    </v:group>
                  </v:group>
                  <v:shapetype id="_x0000_t202" coordsize="21600,21600" o:spt="202" path="m,l,21600r21600,l21600,xe">
                    <v:stroke joinstyle="miter"/>
                    <v:path gradientshapeok="t" o:connecttype="rect"/>
                  </v:shapetype>
                  <v:shape id="TextBox 36" o:spid="_x0000_s1043" type="#_x0000_t202" style="position:absolute;top:-9;width:4037;height:515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" filled="f" stroked="f">
                    <v:textbox inset="2mm,1mm,2mm,1mm">
                      <w:txbxContent>
                        <w:p w14:paraId="48A4D88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r>
                            <w:rPr>
                              <w:rFonts w:hAnsi="Calibri"/>
                              <w:color w:val="000000" w:themeColor="text1"/>
                              <w:spacing w:val="-6"/>
                              <w:kern w:val="20"/>
                              <w:sz w:val="40"/>
                              <w:szCs w:val="40"/>
                            </w:rPr>
                            <w:t>:</w:t>
                          </w:r>
                        </w:p>
                      </w:txbxContent>
                    </v:textbox>
                  </v:shape>
                </v:group>
                <v:group id="Group 28" o:spid="_x0000_s1044" style="position:absolute;top:950;width:17210;height:21063" coordsize="19054,2331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shape id="Freeform 7" o:spid="_x0000_s1045" style="position:absolute;left:5433;top:6092;width:7395;height:11849;visibility:visible;mso-wrap-style:square;v-text-anchor:middle" coordsize="450479,7218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&#13;&#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628582,1184825;110926,1184825;0,1073747;0,111078;110926,0;628582,0;739509,111078;739509,1073747;628582,1184825;110926,74052;73951,111078;73951,1073747;110926,1110773;628582,1110773;665558,1073747;665558,111078;628582,74052" o:connectangles="0,0,0,0,0,0,0,0,0,0,0,0,0,0,0,0,0"/>
                  </v:shape>
                  <v:rect id="Rectangle 30" o:spid="_x0000_s1046" style="position:absolute;left:4682;top:9437;width:751;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" fillcolor="#4472c4 [3204]" strokecolor="#1f3763 [1604]" strokeweight="1pt"/>
                  <v:rect id="Rectangle 31" o:spid="_x0000_s1047" style="position:absolute;left:12828;top:9437;width:750;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" fillcolor="#4472c4 [3204]" strokecolor="#1f3763 [1604]" strokeweight="1pt"/>
                  <v:shape id="TextBox 14" o:spid="_x0000_s1048" type="#_x0000_t202" style="position:absolute;top:8999;width:5576;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" filled="f" stroked="f">
                    <v:textbox inset="0,0,0,0">
                      <w:txbxContent>
                        <w:p w14:paraId="7712D754"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v:textbox>
                  </v:shape>
                  <v:shape id="TextBox 15" o:spid="_x0000_s1049" type="#_x0000_t202" style="position:absolute;left:6334;width:5576;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" filled="f" stroked="f">
                    <v:textbox inset="0,0,0,0">
                      <w:txbxContent>
                        <w:p w14:paraId="28DBA52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v:textbox>
                  </v:shape>
                  <v:rect id="Rectangle 34" o:spid="_x0000_s1050" style="position:absolute;left:8655;top:2891;width:750;height:5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" fillcolor="#4472c4 [3204]" strokecolor="#1f3763 [1604]" strokeweight="1pt"/>
                  <v:rect id="Rectangle 35" o:spid="_x0000_s1051" style="position:absolute;left:8756;top:15821;width:750;height:5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" fillcolor="#4472c4 [3204]" strokecolor="#1f3763 [1604]" strokeweight="1pt"/>
                  <v:shape id="TextBox 18" o:spid="_x0000_s1052" type="#_x0000_t202" style="position:absolute;left:13477;top:9404;width:5577;height:5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" filled="f" stroked="f">
                    <v:textbox inset="0,0,0,0">
                      <w:txbxContent>
                        <w:p w14:paraId="0D5AC752"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v:textbox>
                  </v:shape>
                  <v:shape id="TextBox 19" o:spid="_x0000_s1053" type="#_x0000_t202" style="position:absolute;left:6432;top:18737;width:5576;height:45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" filled="f" stroked="f">
                    <v:textbox inset="0,0,0,0">
                      <w:txbxContent>
                        <w:p w14:paraId="6E9D5094" w14:textId="77777777" w:rsidR="00B32EA2" w:rsidRDefault="00B32EA2" w:rsidP="00B32EA2">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v:textbox>
                  </v:shape>
                </v:group>
                <w10:anchorlock/>
              </v:group>
            </w:pict>
          </mc:Fallback>
        </mc:AlternateContent>
      </w:r>
    </w:p>
    <w:p w14:paraId="0DDA6B4F" w14:textId="77777777" w:rsidR="00B32EA2" w:rsidRPr="009C2925" w:rsidRDefault="00B32EA2" w:rsidP="009C2925">
      <w:pPr>
        <w:jc w:val="both"/>
        <w:rPr>
          <w:rFonts w:cstheme="minorHAnsi"/>
        </w:rPr>
      </w:pPr>
      <w:bookmarkStart w:id="14" w:name="_Ref40357083"/>
      <w:r w:rsidRPr="009C2925">
        <w:rPr>
          <w:rFonts w:cstheme="minorHAnsi"/>
        </w:rPr>
        <w:t xml:space="preserve">Figure </w:t>
      </w:r>
      <w:r w:rsidRPr="009C2925">
        <w:rPr>
          <w:rFonts w:cstheme="minorHAnsi"/>
        </w:rPr>
        <w:fldChar w:fldCharType="begin"/>
      </w:r>
      <w:r w:rsidRPr="009C2925">
        <w:rPr>
          <w:rFonts w:cstheme="minorHAnsi"/>
        </w:rPr>
        <w:instrText xml:space="preserve"> SEQ Figure \* ARABIC </w:instrText>
      </w:r>
      <w:r w:rsidRPr="009C2925">
        <w:rPr>
          <w:rFonts w:cstheme="minorHAnsi"/>
        </w:rPr>
        <w:fldChar w:fldCharType="separate"/>
      </w:r>
      <w:r w:rsidRPr="009C2925">
        <w:rPr>
          <w:rFonts w:cstheme="minorHAnsi"/>
          <w:noProof/>
        </w:rPr>
        <w:t>5</w:t>
      </w:r>
      <w:r w:rsidRPr="009C2925">
        <w:rPr>
          <w:rFonts w:cstheme="minorHAnsi"/>
        </w:rPr>
        <w:fldChar w:fldCharType="end"/>
      </w:r>
      <w:bookmarkEnd w:id="14"/>
      <w:r w:rsidRPr="009C2925">
        <w:rPr>
          <w:rFonts w:cstheme="minorHAnsi"/>
        </w:rPr>
        <w:t>: Antenna layout for FR2. Four panels on opposite sides, each panel has 1x4x2 elements.</w:t>
      </w:r>
    </w:p>
    <w:p w14:paraId="0F537611" w14:textId="77777777" w:rsidR="00B32EA2" w:rsidRPr="009C2925" w:rsidRDefault="00B32EA2" w:rsidP="009C2925">
      <w:pPr>
        <w:jc w:val="both"/>
        <w:rPr>
          <w:rFonts w:cstheme="minorHAnsi"/>
          <w:color w:val="000000"/>
        </w:rPr>
      </w:pPr>
    </w:p>
    <w:p w14:paraId="66E3F792" w14:textId="23D417E5" w:rsidR="002F177C" w:rsidRDefault="009C2925" w:rsidP="009C2925">
      <w:pPr>
        <w:jc w:val="both"/>
        <w:rPr>
          <w:rFonts w:cstheme="minorHAnsi"/>
          <w:color w:val="000000"/>
        </w:rPr>
      </w:pPr>
      <w:r>
        <w:rPr>
          <w:rFonts w:cstheme="minorHAnsi"/>
          <w:color w:val="000000"/>
        </w:rPr>
        <w:t>During RAN1#101</w:t>
      </w:r>
      <w:r w:rsidR="004732BD">
        <w:rPr>
          <w:rFonts w:cstheme="minorHAnsi"/>
          <w:color w:val="000000"/>
        </w:rPr>
        <w:t>-e</w:t>
      </w:r>
      <w:r>
        <w:rPr>
          <w:rFonts w:cstheme="minorHAnsi"/>
          <w:color w:val="000000"/>
        </w:rPr>
        <w:t xml:space="preserve">, it was agreed to support the option of </w:t>
      </w:r>
      <w:r w:rsidR="00094B76">
        <w:rPr>
          <w:rFonts w:cstheme="minorHAnsi"/>
          <w:color w:val="000000"/>
        </w:rPr>
        <w:t xml:space="preserve">having 4-panels UE, with details to be discussed further. </w:t>
      </w:r>
      <w:r w:rsidR="00D92BA0">
        <w:rPr>
          <w:rFonts w:cstheme="minorHAnsi"/>
          <w:color w:val="000000"/>
        </w:rPr>
        <w:t xml:space="preserve">At the </w:t>
      </w:r>
      <w:r w:rsidR="000F0B10">
        <w:rPr>
          <w:rFonts w:cstheme="minorHAnsi"/>
          <w:color w:val="000000"/>
        </w:rPr>
        <w:t xml:space="preserve">same time, </w:t>
      </w:r>
      <w:r w:rsidR="005E0AA6">
        <w:rPr>
          <w:rFonts w:cstheme="minorHAnsi"/>
          <w:color w:val="000000"/>
        </w:rPr>
        <w:t>the rel17 work on f</w:t>
      </w:r>
      <w:r w:rsidR="005E0AA6" w:rsidRPr="005E0AA6">
        <w:rPr>
          <w:rFonts w:cstheme="minorHAnsi"/>
          <w:color w:val="000000"/>
        </w:rPr>
        <w:t>urther enhancements on MIMO</w:t>
      </w:r>
      <w:r w:rsidR="00E94D24">
        <w:rPr>
          <w:rFonts w:cstheme="minorHAnsi"/>
          <w:color w:val="000000"/>
        </w:rPr>
        <w:t xml:space="preserve"> (feMIMO)</w:t>
      </w:r>
      <w:r w:rsidR="005E0AA6" w:rsidRPr="005E0AA6">
        <w:rPr>
          <w:rFonts w:cstheme="minorHAnsi"/>
          <w:color w:val="000000"/>
        </w:rPr>
        <w:t xml:space="preserve"> for NR</w:t>
      </w:r>
      <w:r w:rsidR="005E0AA6">
        <w:rPr>
          <w:rFonts w:cstheme="minorHAnsi"/>
          <w:color w:val="000000"/>
        </w:rPr>
        <w:t xml:space="preserve"> has been discussing</w:t>
      </w:r>
      <w:r w:rsidR="00763F82">
        <w:rPr>
          <w:rFonts w:cstheme="minorHAnsi"/>
          <w:color w:val="000000"/>
        </w:rPr>
        <w:t xml:space="preserve"> offline</w:t>
      </w:r>
      <w:r w:rsidR="005E0AA6">
        <w:rPr>
          <w:rFonts w:cstheme="minorHAnsi"/>
          <w:color w:val="000000"/>
        </w:rPr>
        <w:t xml:space="preserve"> </w:t>
      </w:r>
      <w:r w:rsidR="00AA17B6">
        <w:rPr>
          <w:rFonts w:cstheme="minorHAnsi"/>
          <w:color w:val="000000"/>
        </w:rPr>
        <w:t>a similar modelling assumption for 3-panel UEs</w:t>
      </w:r>
      <w:r w:rsidR="00F237A2">
        <w:rPr>
          <w:rFonts w:cstheme="minorHAnsi"/>
          <w:color w:val="000000"/>
        </w:rPr>
        <w:t>,</w:t>
      </w:r>
      <w:r w:rsidR="00194972">
        <w:rPr>
          <w:rFonts w:cstheme="minorHAnsi"/>
          <w:color w:val="000000"/>
        </w:rPr>
        <w:t xml:space="preserve"> with details being discuss in parallel to the positioning SI.  </w:t>
      </w:r>
      <w:r w:rsidR="00F164F0">
        <w:rPr>
          <w:rFonts w:cstheme="minorHAnsi"/>
          <w:color w:val="000000"/>
        </w:rPr>
        <w:t>In the feMIMO evaluation</w:t>
      </w:r>
      <w:r w:rsidR="00B21CDF">
        <w:rPr>
          <w:rFonts w:cstheme="minorHAnsi"/>
          <w:color w:val="000000"/>
        </w:rPr>
        <w:t xml:space="preserve"> assumptions, the 3 panels are placed at the left, right, and back of the </w:t>
      </w:r>
      <w:r w:rsidR="004C10A7">
        <w:rPr>
          <w:rFonts w:cstheme="minorHAnsi"/>
          <w:color w:val="000000"/>
        </w:rPr>
        <w:t xml:space="preserve">UE.  </w:t>
      </w:r>
      <w:r w:rsidR="007F61F6">
        <w:rPr>
          <w:rFonts w:cstheme="minorHAnsi"/>
          <w:color w:val="000000"/>
        </w:rPr>
        <w:t xml:space="preserve">Along the same lines, for the positioning SI we </w:t>
      </w:r>
      <w:proofErr w:type="spellStart"/>
      <w:r w:rsidR="007F61F6">
        <w:rPr>
          <w:rFonts w:cstheme="minorHAnsi"/>
          <w:color w:val="000000"/>
        </w:rPr>
        <w:t>an</w:t>
      </w:r>
      <w:proofErr w:type="spellEnd"/>
      <w:r w:rsidR="007F61F6">
        <w:rPr>
          <w:rFonts w:cstheme="minorHAnsi"/>
          <w:color w:val="000000"/>
        </w:rPr>
        <w:t xml:space="preserve"> assume that the 4 </w:t>
      </w:r>
      <w:r w:rsidR="001E16F6">
        <w:rPr>
          <w:rFonts w:cstheme="minorHAnsi"/>
          <w:color w:val="000000"/>
        </w:rPr>
        <w:t>panels</w:t>
      </w:r>
      <w:r w:rsidR="007F61F6">
        <w:rPr>
          <w:rFonts w:cstheme="minorHAnsi"/>
          <w:color w:val="000000"/>
        </w:rPr>
        <w:t xml:space="preserve"> are placed at the left, right, to</w:t>
      </w:r>
      <w:r w:rsidR="001E16F6">
        <w:rPr>
          <w:rFonts w:cstheme="minorHAnsi"/>
          <w:color w:val="000000"/>
        </w:rPr>
        <w:t>p, and bottom of the UE.</w:t>
      </w:r>
    </w:p>
    <w:p w14:paraId="6F7919AC" w14:textId="65C68CD9" w:rsidR="00194972" w:rsidRDefault="00194972" w:rsidP="009C2925">
      <w:pPr>
        <w:jc w:val="both"/>
        <w:rPr>
          <w:rFonts w:cstheme="minorHAnsi"/>
          <w:color w:val="000000"/>
        </w:rPr>
      </w:pPr>
      <w:r>
        <w:rPr>
          <w:rFonts w:cstheme="minorHAnsi"/>
          <w:color w:val="000000"/>
        </w:rPr>
        <w:t xml:space="preserve">Instead of proposing </w:t>
      </w:r>
      <w:r w:rsidR="00605735">
        <w:rPr>
          <w:rFonts w:cstheme="minorHAnsi"/>
          <w:color w:val="000000"/>
        </w:rPr>
        <w:t>completely different</w:t>
      </w:r>
      <w:r w:rsidR="00763F82">
        <w:rPr>
          <w:rFonts w:cstheme="minorHAnsi"/>
          <w:color w:val="000000"/>
        </w:rPr>
        <w:t xml:space="preserve"> assumptions</w:t>
      </w:r>
      <w:r w:rsidR="00605735">
        <w:rPr>
          <w:rFonts w:cstheme="minorHAnsi"/>
          <w:color w:val="000000"/>
        </w:rPr>
        <w:t xml:space="preserve"> from </w:t>
      </w:r>
      <w:r w:rsidR="00E94D24">
        <w:rPr>
          <w:rFonts w:cstheme="minorHAnsi"/>
          <w:color w:val="000000"/>
        </w:rPr>
        <w:t xml:space="preserve">those used in </w:t>
      </w:r>
      <w:proofErr w:type="spellStart"/>
      <w:r w:rsidR="00E94D24">
        <w:rPr>
          <w:rFonts w:cstheme="minorHAnsi"/>
          <w:color w:val="000000"/>
        </w:rPr>
        <w:t>fe</w:t>
      </w:r>
      <w:r w:rsidR="00605735">
        <w:rPr>
          <w:rFonts w:cstheme="minorHAnsi"/>
          <w:color w:val="000000"/>
        </w:rPr>
        <w:t>MIMO</w:t>
      </w:r>
      <w:proofErr w:type="spellEnd"/>
      <w:r w:rsidR="00605735">
        <w:rPr>
          <w:rFonts w:cstheme="minorHAnsi"/>
          <w:color w:val="000000"/>
        </w:rPr>
        <w:t>, it is proposed to align the assumption as much as possible</w:t>
      </w:r>
      <w:r w:rsidR="000A38A5">
        <w:rPr>
          <w:rFonts w:cstheme="minorHAnsi"/>
          <w:color w:val="000000"/>
        </w:rPr>
        <w:t xml:space="preserve">, regarding </w:t>
      </w:r>
      <w:r w:rsidR="00863ED7">
        <w:rPr>
          <w:rFonts w:cstheme="minorHAnsi"/>
          <w:color w:val="000000"/>
        </w:rPr>
        <w:t>multi-</w:t>
      </w:r>
      <w:r w:rsidR="000A38A5">
        <w:rPr>
          <w:rFonts w:cstheme="minorHAnsi"/>
          <w:color w:val="000000"/>
        </w:rPr>
        <w:t xml:space="preserve">panel </w:t>
      </w:r>
      <w:r w:rsidR="00863ED7">
        <w:rPr>
          <w:rFonts w:cstheme="minorHAnsi"/>
          <w:color w:val="000000"/>
        </w:rPr>
        <w:t xml:space="preserve">UE </w:t>
      </w:r>
      <w:r w:rsidR="000A38A5">
        <w:rPr>
          <w:rFonts w:cstheme="minorHAnsi"/>
          <w:color w:val="000000"/>
        </w:rPr>
        <w:t>configurations.</w:t>
      </w:r>
    </w:p>
    <w:p w14:paraId="01A56967" w14:textId="41C94C64" w:rsidR="000A38A5" w:rsidRDefault="000A38A5" w:rsidP="009C2925">
      <w:pPr>
        <w:jc w:val="both"/>
        <w:rPr>
          <w:rFonts w:cstheme="minorHAnsi"/>
          <w:color w:val="000000"/>
        </w:rPr>
      </w:pPr>
    </w:p>
    <w:p w14:paraId="4299FE90" w14:textId="23844043" w:rsidR="00A83070" w:rsidRDefault="007E23A4" w:rsidP="00A83070">
      <w:pPr>
        <w:pStyle w:val="Proposal"/>
      </w:pPr>
      <w:bookmarkStart w:id="15" w:name="_Toc47734444"/>
      <w:r>
        <w:t xml:space="preserve">Following evaluation assumptions being discussed in NR Rel-17 </w:t>
      </w:r>
      <w:proofErr w:type="spellStart"/>
      <w:r>
        <w:t>feMIMO</w:t>
      </w:r>
      <w:proofErr w:type="spellEnd"/>
      <w:r w:rsidR="00CA271A">
        <w:t xml:space="preserve"> WI, </w:t>
      </w:r>
      <w:r w:rsidR="00A61EBF">
        <w:t xml:space="preserve">the </w:t>
      </w:r>
      <w:r w:rsidR="00D463F0">
        <w:t>4-panel</w:t>
      </w:r>
      <w:r w:rsidR="00C0628C">
        <w:t>s</w:t>
      </w:r>
      <w:r w:rsidR="00D463F0">
        <w:t xml:space="preserve"> </w:t>
      </w:r>
      <w:r w:rsidR="00C0628C">
        <w:t xml:space="preserve">of the UE </w:t>
      </w:r>
      <w:r w:rsidR="00835069">
        <w:t xml:space="preserve">in the </w:t>
      </w:r>
      <w:r w:rsidR="00835069">
        <w:rPr>
          <w:lang w:eastAsia="x-none"/>
        </w:rPr>
        <w:t xml:space="preserve">UE antenna configuration </w:t>
      </w:r>
      <w:r w:rsidR="00AD5943">
        <w:rPr>
          <w:lang w:eastAsia="x-none"/>
        </w:rPr>
        <w:t xml:space="preserve">for FR2 </w:t>
      </w:r>
      <w:r w:rsidR="00C0628C">
        <w:t xml:space="preserve">can be assumed to be </w:t>
      </w:r>
      <w:r w:rsidR="00A83070">
        <w:t xml:space="preserve">placed at the left, right, top, and </w:t>
      </w:r>
      <w:proofErr w:type="spellStart"/>
      <w:r w:rsidR="00A83070">
        <w:t>bollom</w:t>
      </w:r>
      <w:proofErr w:type="spellEnd"/>
      <w:r w:rsidR="00A83070">
        <w:t xml:space="preserve"> of the </w:t>
      </w:r>
      <w:r w:rsidR="00D463F0">
        <w:t>UE</w:t>
      </w:r>
      <w:r w:rsidR="00A83070">
        <w:t>.</w:t>
      </w:r>
      <w:bookmarkEnd w:id="15"/>
    </w:p>
    <w:p w14:paraId="4DF9E2F5" w14:textId="77777777" w:rsidR="00194972" w:rsidRDefault="00194972" w:rsidP="009C2925">
      <w:pPr>
        <w:jc w:val="both"/>
        <w:rPr>
          <w:rFonts w:cstheme="minorHAnsi"/>
          <w:color w:val="000000"/>
        </w:rPr>
      </w:pPr>
    </w:p>
    <w:p w14:paraId="1D8725D3" w14:textId="7C97F208" w:rsidR="00646A3F" w:rsidRPr="00F06766" w:rsidRDefault="00A83070" w:rsidP="00646A3F">
      <w:r>
        <w:rPr>
          <w:rFonts w:cstheme="minorHAnsi"/>
          <w:color w:val="000000"/>
        </w:rPr>
        <w:t xml:space="preserve">Furthermore, in the feMIMO evaluation assumptions, </w:t>
      </w:r>
      <w:r w:rsidR="00E46FE5">
        <w:rPr>
          <w:rFonts w:cstheme="minorHAnsi"/>
          <w:color w:val="000000"/>
        </w:rPr>
        <w:t xml:space="preserve">each panel is assumed to have </w:t>
      </w:r>
      <w:r w:rsidR="00646A3F">
        <w:rPr>
          <w:rFonts w:cstheme="minorHAnsi"/>
          <w:color w:val="000000"/>
        </w:rPr>
        <w:t xml:space="preserve">a structure of </w:t>
      </w:r>
      <w:r w:rsidR="00646A3F" w:rsidRPr="00F06766">
        <w:t>(M, N, P) = (1, 4, 2)</w:t>
      </w:r>
      <w:r w:rsidR="00646A3F">
        <w:t xml:space="preserve"> with a horizontal antenna spacing of</w:t>
      </w:r>
      <w:r w:rsidR="00646A3F" w:rsidRPr="00F06766">
        <w:t xml:space="preserve"> </w:t>
      </w:r>
      <w:proofErr w:type="spellStart"/>
      <w:r w:rsidR="00646A3F" w:rsidRPr="00F06766">
        <w:t>d</w:t>
      </w:r>
      <w:r w:rsidR="00646A3F" w:rsidRPr="00F06766">
        <w:rPr>
          <w:vertAlign w:val="subscript"/>
        </w:rPr>
        <w:t>H</w:t>
      </w:r>
      <w:proofErr w:type="spellEnd"/>
      <w:r w:rsidR="00646A3F" w:rsidRPr="00F06766">
        <w:t xml:space="preserve"> = 0.5 </w:t>
      </w:r>
      <w:proofErr w:type="gramStart"/>
      <w:r w:rsidR="00646A3F" w:rsidRPr="00F42D10">
        <w:rPr>
          <w:lang w:val="en-GB"/>
        </w:rPr>
        <w:t>λ</w:t>
      </w:r>
      <w:r w:rsidR="00646A3F" w:rsidRPr="00F06766">
        <w:t xml:space="preserve"> </w:t>
      </w:r>
      <w:r w:rsidR="00646A3F">
        <w:t>.</w:t>
      </w:r>
      <w:proofErr w:type="gramEnd"/>
      <w:r w:rsidR="00646A3F">
        <w:t xml:space="preserve">  Hence, these assumptions can be reused in the Rel-17 positioning SI.</w:t>
      </w:r>
    </w:p>
    <w:p w14:paraId="73C8E590" w14:textId="174F1972" w:rsidR="00A83070" w:rsidRDefault="00A83070" w:rsidP="009C2925">
      <w:pPr>
        <w:jc w:val="both"/>
        <w:rPr>
          <w:rFonts w:cstheme="minorHAnsi"/>
          <w:color w:val="000000"/>
        </w:rPr>
      </w:pPr>
    </w:p>
    <w:p w14:paraId="04844A06" w14:textId="08FC80CB" w:rsidR="0087496C" w:rsidRDefault="0087496C" w:rsidP="0087496C">
      <w:pPr>
        <w:pStyle w:val="Proposal"/>
      </w:pPr>
      <w:bookmarkStart w:id="16" w:name="_Toc47734445"/>
      <w:r>
        <w:lastRenderedPageBreak/>
        <w:t xml:space="preserve">Following evaluation assumptions being discussed in NR Rel-17 feMIMO WI, </w:t>
      </w:r>
      <w:r w:rsidR="00AD5943">
        <w:t xml:space="preserve">each panel </w:t>
      </w:r>
      <w:r w:rsidR="00AA0531">
        <w:t xml:space="preserve">for </w:t>
      </w:r>
      <w:r w:rsidR="00AA0531">
        <w:rPr>
          <w:lang w:eastAsia="x-none"/>
        </w:rPr>
        <w:t>UE antenna configuration</w:t>
      </w:r>
      <w:r w:rsidR="00F101F3">
        <w:rPr>
          <w:lang w:eastAsia="x-none"/>
        </w:rPr>
        <w:t xml:space="preserve"> for FR2 can be assumed to have </w:t>
      </w:r>
      <w:r w:rsidR="00F101F3" w:rsidRPr="00F06766">
        <w:t>(M, N, P) = (1, 4, 2)</w:t>
      </w:r>
      <w:r w:rsidR="00F101F3">
        <w:t xml:space="preserve"> with a horizontal antenna spacing of</w:t>
      </w:r>
      <w:r w:rsidR="00F101F3" w:rsidRPr="00F06766">
        <w:t xml:space="preserve"> </w:t>
      </w:r>
      <w:proofErr w:type="spellStart"/>
      <w:r w:rsidR="00F101F3" w:rsidRPr="00F06766">
        <w:t>d</w:t>
      </w:r>
      <w:r w:rsidR="00F101F3" w:rsidRPr="00F06766">
        <w:rPr>
          <w:vertAlign w:val="subscript"/>
        </w:rPr>
        <w:t>H</w:t>
      </w:r>
      <w:proofErr w:type="spellEnd"/>
      <w:r w:rsidR="00F101F3" w:rsidRPr="00F06766">
        <w:t xml:space="preserve"> = 0.5 </w:t>
      </w:r>
      <w:r w:rsidR="00F101F3" w:rsidRPr="00F42D10">
        <w:rPr>
          <w:lang w:val="en-GB"/>
        </w:rPr>
        <w:t>λ</w:t>
      </w:r>
      <w:r>
        <w:t>.</w:t>
      </w:r>
      <w:bookmarkEnd w:id="16"/>
    </w:p>
    <w:p w14:paraId="39ADAC19" w14:textId="77777777" w:rsidR="0087496C" w:rsidRDefault="0087496C" w:rsidP="009C2925">
      <w:pPr>
        <w:jc w:val="both"/>
        <w:rPr>
          <w:rFonts w:cstheme="minorHAnsi"/>
          <w:color w:val="000000"/>
        </w:rPr>
      </w:pPr>
    </w:p>
    <w:p w14:paraId="33A7C96C" w14:textId="77777777" w:rsidR="00B32EA2" w:rsidRDefault="00B32EA2" w:rsidP="00B32EA2">
      <w:pPr>
        <w:pStyle w:val="ListParagraph"/>
        <w:ind w:left="0"/>
        <w:jc w:val="both"/>
        <w:rPr>
          <w:lang w:val="en-US"/>
        </w:rPr>
      </w:pPr>
    </w:p>
    <w:p w14:paraId="46E6F25A" w14:textId="77777777" w:rsidR="00B32EA2" w:rsidRDefault="00B32EA2" w:rsidP="00B32EA2">
      <w:pPr>
        <w:pStyle w:val="ListParagraph"/>
        <w:ind w:left="0"/>
        <w:jc w:val="both"/>
        <w:rPr>
          <w:lang w:val="en-US"/>
        </w:rPr>
      </w:pPr>
      <w:r>
        <w:rPr>
          <w:lang w:val="en-US"/>
        </w:rPr>
        <w:t>For antenna element pattern, the model in Table 6.1.1-2 of 3GPP TR 38.855 can be reused.</w:t>
      </w:r>
    </w:p>
    <w:p w14:paraId="24EC306D" w14:textId="77777777" w:rsidR="00B32EA2" w:rsidRDefault="00B32EA2" w:rsidP="00B32EA2">
      <w:pPr>
        <w:pStyle w:val="ListParagraph"/>
        <w:ind w:left="0"/>
        <w:jc w:val="both"/>
        <w:rPr>
          <w:lang w:val="en-US"/>
        </w:rPr>
      </w:pPr>
      <w:r>
        <w:rPr>
          <w:lang w:val="en-US"/>
        </w:rPr>
        <w:t xml:space="preserve">Furthermore, it can be assumed that the UE can receive or transmit at most from one panel at a time.  This corresponds to the case where the UE has two </w:t>
      </w:r>
      <w:proofErr w:type="gramStart"/>
      <w:r>
        <w:rPr>
          <w:lang w:val="en-US"/>
        </w:rPr>
        <w:t>baseband</w:t>
      </w:r>
      <w:proofErr w:type="gramEnd"/>
      <w:r>
        <w:rPr>
          <w:lang w:val="en-US"/>
        </w:rPr>
        <w:t xml:space="preserve"> transmit chains and two receive baseband chains, and the UE can switch the Tx/Rx baseband chains between the panels independently.  Furthermore, it can be assumed that panel activation delay is 0ms.</w:t>
      </w:r>
    </w:p>
    <w:p w14:paraId="140A9540" w14:textId="77777777" w:rsidR="00B32EA2" w:rsidRDefault="00B32EA2" w:rsidP="00B32EA2">
      <w:pPr>
        <w:pStyle w:val="ListParagraph"/>
        <w:ind w:left="0"/>
        <w:jc w:val="both"/>
        <w:rPr>
          <w:lang w:val="en-US"/>
        </w:rPr>
      </w:pPr>
    </w:p>
    <w:p w14:paraId="68E8DE4B" w14:textId="3BAFC650" w:rsidR="00B32EA2" w:rsidRPr="00B32EA2" w:rsidRDefault="00B32EA2" w:rsidP="009E6E53">
      <w:pPr>
        <w:pStyle w:val="Proposal"/>
      </w:pPr>
      <w:bookmarkStart w:id="17" w:name="_Toc47734446"/>
      <w:r>
        <w:t>For UE evaluation assumptions in FR2, it is assumed that the UE can receive or transmit at most from one panel at a time with a panel activation delay of 0ms.</w:t>
      </w:r>
      <w:bookmarkEnd w:id="17"/>
      <w:r>
        <w:t xml:space="preserve"> </w:t>
      </w:r>
    </w:p>
    <w:p w14:paraId="33387179" w14:textId="189E701A" w:rsidR="0018371D" w:rsidRDefault="0018371D" w:rsidP="0011207D">
      <w:pPr>
        <w:pStyle w:val="Heading2"/>
        <w:numPr>
          <w:ilvl w:val="1"/>
          <w:numId w:val="11"/>
        </w:numPr>
      </w:pPr>
      <w:r>
        <w:t>UE and gNB Rx-Tx error</w:t>
      </w:r>
    </w:p>
    <w:p w14:paraId="2B638178" w14:textId="3E293BA6" w:rsidR="00A77CE4" w:rsidRDefault="00A77CE4" w:rsidP="002664A9">
      <w:r>
        <w:t>In RAN1#101, the following was agreed:</w:t>
      </w:r>
    </w:p>
    <w:p w14:paraId="4EE2338F" w14:textId="56E0D023" w:rsidR="00A77CE4" w:rsidRDefault="00A77CE4" w:rsidP="002664A9"/>
    <w:tbl>
      <w:tblPr>
        <w:tblStyle w:val="TableGrid"/>
        <w:tblW w:w="0" w:type="auto"/>
        <w:tblLook w:val="04A0" w:firstRow="1" w:lastRow="0" w:firstColumn="1" w:lastColumn="0" w:noHBand="0" w:noVBand="1"/>
      </w:tblPr>
      <w:tblGrid>
        <w:gridCol w:w="9629"/>
      </w:tblGrid>
      <w:tr w:rsidR="00A77CE4" w14:paraId="5FEAA8F7" w14:textId="77777777" w:rsidTr="00A77CE4">
        <w:tc>
          <w:tcPr>
            <w:tcW w:w="9629" w:type="dxa"/>
          </w:tcPr>
          <w:p w14:paraId="046E5554" w14:textId="77777777" w:rsidR="00A77CE4" w:rsidRDefault="00A77CE4" w:rsidP="00A77CE4">
            <w:pPr>
              <w:pStyle w:val="ListParagraph"/>
              <w:ind w:left="0"/>
              <w:rPr>
                <w:lang w:eastAsia="zh-CN"/>
              </w:rPr>
            </w:pPr>
            <w:r>
              <w:rPr>
                <w:highlight w:val="green"/>
                <w:lang w:eastAsia="zh-CN"/>
              </w:rPr>
              <w:t>Agreement:</w:t>
            </w:r>
          </w:p>
          <w:p w14:paraId="17CC187D" w14:textId="77777777" w:rsidR="00A77CE4" w:rsidRDefault="00A77CE4" w:rsidP="00A77CE4">
            <w:pPr>
              <w:pStyle w:val="ListParagraph"/>
              <w:ind w:left="0"/>
              <w:rPr>
                <w:lang w:eastAsia="zh-CN"/>
              </w:rPr>
            </w:pPr>
            <w:r>
              <w:rPr>
                <w:lang w:eastAsia="zh-CN"/>
              </w:rPr>
              <w:t>Optional: The UE/gNB RX and TX timing error, in FR1/FR2, can be modeled as a truncated Gaussian distribution with zero mean and standard deviation of T1 ns, with truncation of the distribution to the [-T2, T2] range, and with T2=2*T1:</w:t>
            </w:r>
          </w:p>
          <w:p w14:paraId="0BD423E4" w14:textId="77777777" w:rsidR="00A77CE4" w:rsidRDefault="00A77CE4" w:rsidP="00FA0B7D">
            <w:pPr>
              <w:pStyle w:val="ListParagraph"/>
              <w:numPr>
                <w:ilvl w:val="0"/>
                <w:numId w:val="22"/>
              </w:numPr>
              <w:ind w:left="360"/>
              <w:rPr>
                <w:lang w:eastAsia="zh-CN"/>
              </w:rPr>
            </w:pPr>
            <w:r>
              <w:rPr>
                <w:lang w:eastAsia="zh-CN"/>
              </w:rPr>
              <w:t xml:space="preserve">T1:  [X] ns for gNB and [Y] ns for UE </w:t>
            </w:r>
          </w:p>
          <w:p w14:paraId="6471A94F" w14:textId="77777777" w:rsidR="00A77CE4" w:rsidRDefault="00A77CE4" w:rsidP="00FA0B7D">
            <w:pPr>
              <w:numPr>
                <w:ilvl w:val="0"/>
                <w:numId w:val="26"/>
              </w:numPr>
              <w:rPr>
                <w:rFonts w:ascii="Times" w:hAnsi="Times"/>
                <w:szCs w:val="20"/>
              </w:rPr>
            </w:pPr>
            <w:r>
              <w:rPr>
                <w:szCs w:val="20"/>
              </w:rPr>
              <w:t>FFS: X, Y</w:t>
            </w:r>
          </w:p>
          <w:p w14:paraId="7779207A" w14:textId="77777777" w:rsidR="00A77CE4" w:rsidRDefault="00A77CE4" w:rsidP="00FA0B7D">
            <w:pPr>
              <w:pStyle w:val="ListParagraph"/>
              <w:numPr>
                <w:ilvl w:val="0"/>
                <w:numId w:val="22"/>
              </w:numPr>
              <w:ind w:left="360"/>
              <w:rPr>
                <w:lang w:eastAsia="zh-CN"/>
              </w:rPr>
            </w:pPr>
            <w:r>
              <w:rPr>
                <w:lang w:eastAsia="zh-CN"/>
              </w:rPr>
              <w:t>Note: RX and TX timing errors are generated per panel independently</w:t>
            </w:r>
          </w:p>
          <w:p w14:paraId="7CDFCDEB" w14:textId="77777777" w:rsidR="00A77CE4" w:rsidRDefault="00A77CE4" w:rsidP="00FA0B7D">
            <w:pPr>
              <w:pStyle w:val="ListParagraph"/>
              <w:numPr>
                <w:ilvl w:val="0"/>
                <w:numId w:val="22"/>
              </w:numPr>
              <w:ind w:left="360"/>
              <w:rPr>
                <w:lang w:eastAsia="zh-CN"/>
              </w:rPr>
            </w:pPr>
            <w:r>
              <w:rPr>
                <w:lang w:eastAsia="zh-CN"/>
              </w:rPr>
              <w:t>FFS: how the Rx and Tx timing errors are applied  </w:t>
            </w:r>
          </w:p>
          <w:p w14:paraId="51D47DCB" w14:textId="77777777" w:rsidR="00A77CE4" w:rsidRPr="00A77CE4" w:rsidRDefault="00A77CE4" w:rsidP="002664A9">
            <w:pPr>
              <w:rPr>
                <w:lang w:val="x-none"/>
              </w:rPr>
            </w:pPr>
          </w:p>
        </w:tc>
      </w:tr>
    </w:tbl>
    <w:p w14:paraId="099DAABB" w14:textId="508F938E" w:rsidR="00A77CE4" w:rsidRDefault="00A77CE4" w:rsidP="002664A9"/>
    <w:p w14:paraId="2F1C7F6F" w14:textId="2AC8E35F" w:rsidR="00B74D4A" w:rsidRDefault="009749FA" w:rsidP="002664A9">
      <w:r>
        <w:t xml:space="preserve">Since the typical values for X and Y are very much dependent on gNB deployment, UE capabilities, </w:t>
      </w:r>
      <w:proofErr w:type="spellStart"/>
      <w:r>
        <w:t>etc</w:t>
      </w:r>
      <w:proofErr w:type="spellEnd"/>
      <w:r>
        <w:t xml:space="preserve">, we propose to leave X and Y </w:t>
      </w:r>
      <w:r w:rsidR="009D61E7">
        <w:t xml:space="preserve">up to companies and to be provided when submitting results. </w:t>
      </w:r>
    </w:p>
    <w:p w14:paraId="77C785EE" w14:textId="3C69F42C" w:rsidR="009D61E7" w:rsidRDefault="009D61E7" w:rsidP="002664A9"/>
    <w:p w14:paraId="113F6685" w14:textId="34E6AA69" w:rsidR="0074569A" w:rsidRPr="0074569A" w:rsidRDefault="009D61E7" w:rsidP="0074569A">
      <w:pPr>
        <w:pStyle w:val="Proposal"/>
      </w:pPr>
      <w:r>
        <w:t xml:space="preserve"> </w:t>
      </w:r>
      <w:bookmarkStart w:id="18" w:name="_Toc47734447"/>
      <w:r>
        <w:t xml:space="preserve">The </w:t>
      </w:r>
      <w:r w:rsidR="008F503F" w:rsidRPr="008F503F">
        <w:t xml:space="preserve">values for X and Y </w:t>
      </w:r>
      <w:r w:rsidR="008F503F">
        <w:t xml:space="preserve">characterizing the UE /gNB Rx and Tx timing error </w:t>
      </w:r>
      <w:r w:rsidR="0043386A">
        <w:t>are provided by companies when submitting results.</w:t>
      </w:r>
      <w:bookmarkEnd w:id="18"/>
      <w:r w:rsidR="0043386A">
        <w:t xml:space="preserve"> </w:t>
      </w:r>
    </w:p>
    <w:p w14:paraId="5027C774" w14:textId="62F2E069" w:rsidR="00207D09" w:rsidRDefault="00207D09" w:rsidP="0011207D">
      <w:pPr>
        <w:pStyle w:val="Heading2"/>
        <w:numPr>
          <w:ilvl w:val="1"/>
          <w:numId w:val="11"/>
        </w:numPr>
      </w:pPr>
      <w:r>
        <w:t>Absolute TOA</w:t>
      </w:r>
    </w:p>
    <w:p w14:paraId="0E14A056" w14:textId="55F704DA" w:rsidR="004B1708" w:rsidRDefault="004B1708" w:rsidP="00CF77C4">
      <w:pPr>
        <w:rPr>
          <w:lang w:eastAsia="en-GB"/>
        </w:rPr>
      </w:pPr>
      <w:r>
        <w:rPr>
          <w:lang w:eastAsia="en-GB"/>
        </w:rPr>
        <w:t>From RAN1#101:</w:t>
      </w:r>
    </w:p>
    <w:tbl>
      <w:tblPr>
        <w:tblStyle w:val="TableGrid"/>
        <w:tblW w:w="0" w:type="auto"/>
        <w:tblLook w:val="04A0" w:firstRow="1" w:lastRow="0" w:firstColumn="1" w:lastColumn="0" w:noHBand="0" w:noVBand="1"/>
      </w:tblPr>
      <w:tblGrid>
        <w:gridCol w:w="9629"/>
      </w:tblGrid>
      <w:tr w:rsidR="004B1708" w14:paraId="5008BAB7" w14:textId="77777777" w:rsidTr="004B1708">
        <w:tc>
          <w:tcPr>
            <w:tcW w:w="9629" w:type="dxa"/>
          </w:tcPr>
          <w:p w14:paraId="1AABAF44" w14:textId="77777777" w:rsidR="004B1708" w:rsidRDefault="004B1708" w:rsidP="004B1708">
            <w:pPr>
              <w:pStyle w:val="ListParagraph"/>
              <w:ind w:left="0"/>
              <w:rPr>
                <w:lang w:eastAsia="zh-CN"/>
              </w:rPr>
            </w:pPr>
            <w:r>
              <w:rPr>
                <w:highlight w:val="green"/>
                <w:lang w:eastAsia="zh-CN"/>
              </w:rPr>
              <w:t>Agreement:</w:t>
            </w:r>
          </w:p>
          <w:p w14:paraId="476F8CD5" w14:textId="77777777" w:rsidR="004B1708" w:rsidRDefault="004B1708" w:rsidP="00FA0B7D">
            <w:pPr>
              <w:pStyle w:val="ListParagraph"/>
              <w:numPr>
                <w:ilvl w:val="0"/>
                <w:numId w:val="27"/>
              </w:numPr>
              <w:rPr>
                <w:lang w:eastAsia="zh-CN"/>
              </w:rPr>
            </w:pPr>
            <w:r>
              <w:rPr>
                <w:lang w:eastAsia="zh-CN"/>
              </w:rPr>
              <w:t xml:space="preserve">In Rel-17 SI, for the evaluation of positioning enhancements for commercial use cases, no baseline scenario is defined. </w:t>
            </w:r>
            <w:proofErr w:type="spellStart"/>
            <w:r>
              <w:rPr>
                <w:lang w:eastAsia="zh-CN"/>
              </w:rPr>
              <w:t>UMi</w:t>
            </w:r>
            <w:proofErr w:type="spellEnd"/>
            <w:r>
              <w:rPr>
                <w:lang w:eastAsia="zh-CN"/>
              </w:rPr>
              <w:t xml:space="preserve">, </w:t>
            </w:r>
            <w:proofErr w:type="spellStart"/>
            <w:r>
              <w:rPr>
                <w:lang w:eastAsia="zh-CN"/>
              </w:rPr>
              <w:t>UMa</w:t>
            </w:r>
            <w:proofErr w:type="spellEnd"/>
            <w:r>
              <w:rPr>
                <w:lang w:eastAsia="zh-CN"/>
              </w:rPr>
              <w:t xml:space="preserve"> and IOO scenario(s) defined in TR 38.855 can be considered as optional scenarios without modifications to existing configuration parameters. </w:t>
            </w:r>
          </w:p>
          <w:p w14:paraId="1D7AAC03" w14:textId="77777777" w:rsidR="004B1708" w:rsidRDefault="004B1708" w:rsidP="00FA0B7D">
            <w:pPr>
              <w:pStyle w:val="ListParagraph"/>
              <w:numPr>
                <w:ilvl w:val="0"/>
                <w:numId w:val="27"/>
              </w:numPr>
              <w:rPr>
                <w:lang w:eastAsia="zh-CN"/>
              </w:rPr>
            </w:pPr>
            <w:r>
              <w:rPr>
                <w:lang w:eastAsia="zh-CN"/>
              </w:rPr>
              <w:t xml:space="preserve">FFS: absolute time of arrival model for </w:t>
            </w:r>
            <w:proofErr w:type="spellStart"/>
            <w:r>
              <w:rPr>
                <w:lang w:eastAsia="zh-CN"/>
              </w:rPr>
              <w:t>UMi</w:t>
            </w:r>
            <w:proofErr w:type="spellEnd"/>
            <w:r>
              <w:rPr>
                <w:lang w:eastAsia="zh-CN"/>
              </w:rPr>
              <w:t xml:space="preserve">, </w:t>
            </w:r>
            <w:proofErr w:type="spellStart"/>
            <w:r>
              <w:rPr>
                <w:lang w:eastAsia="zh-CN"/>
              </w:rPr>
              <w:t>UMa</w:t>
            </w:r>
            <w:proofErr w:type="spellEnd"/>
            <w:r>
              <w:rPr>
                <w:lang w:eastAsia="zh-CN"/>
              </w:rPr>
              <w:t xml:space="preserve"> and IOO scenarios</w:t>
            </w:r>
          </w:p>
          <w:p w14:paraId="29F8FCD8" w14:textId="77777777" w:rsidR="004B1708" w:rsidRPr="004B1708" w:rsidRDefault="004B1708" w:rsidP="00CF77C4">
            <w:pPr>
              <w:rPr>
                <w:lang w:val="x-none" w:eastAsia="en-GB"/>
              </w:rPr>
            </w:pPr>
          </w:p>
        </w:tc>
      </w:tr>
    </w:tbl>
    <w:p w14:paraId="666015A7" w14:textId="227DEB4D" w:rsidR="004B1708" w:rsidRDefault="004B1708" w:rsidP="00CF77C4">
      <w:pPr>
        <w:rPr>
          <w:lang w:eastAsia="en-GB"/>
        </w:rPr>
      </w:pPr>
    </w:p>
    <w:p w14:paraId="5454243E" w14:textId="1EB70257" w:rsidR="00CF77C4" w:rsidRDefault="00C76BBE" w:rsidP="008C4D82">
      <w:pPr>
        <w:rPr>
          <w:lang w:eastAsia="en-GB"/>
        </w:rPr>
      </w:pPr>
      <w:r>
        <w:rPr>
          <w:lang w:eastAsia="zh-CN"/>
        </w:rPr>
        <w:t xml:space="preserve">The absolute time of arrival model for </w:t>
      </w:r>
      <w:proofErr w:type="spellStart"/>
      <w:r>
        <w:rPr>
          <w:lang w:eastAsia="zh-CN"/>
        </w:rPr>
        <w:t>UMi</w:t>
      </w:r>
      <w:proofErr w:type="spellEnd"/>
      <w:r>
        <w:rPr>
          <w:lang w:eastAsia="zh-CN"/>
        </w:rPr>
        <w:t xml:space="preserve">, </w:t>
      </w:r>
      <w:proofErr w:type="spellStart"/>
      <w:r>
        <w:rPr>
          <w:lang w:eastAsia="zh-CN"/>
        </w:rPr>
        <w:t>UMa</w:t>
      </w:r>
      <w:proofErr w:type="spellEnd"/>
      <w:r>
        <w:rPr>
          <w:lang w:eastAsia="zh-CN"/>
        </w:rPr>
        <w:t xml:space="preserve"> and IOO scenarios can reuse the same model and parameters </w:t>
      </w:r>
      <w:r w:rsidR="008C4D82">
        <w:rPr>
          <w:lang w:eastAsia="zh-CN"/>
        </w:rPr>
        <w:t xml:space="preserve">as the </w:t>
      </w:r>
      <w:proofErr w:type="spellStart"/>
      <w:r w:rsidR="008C4D82">
        <w:rPr>
          <w:lang w:eastAsia="zh-CN"/>
        </w:rPr>
        <w:t>InF</w:t>
      </w:r>
      <w:proofErr w:type="spellEnd"/>
      <w:r w:rsidR="008C4D82">
        <w:rPr>
          <w:lang w:eastAsia="zh-CN"/>
        </w:rPr>
        <w:t xml:space="preserve"> model specified in 38.901. </w:t>
      </w:r>
      <w:r w:rsidR="008C4D82">
        <w:rPr>
          <w:lang w:eastAsia="en-GB"/>
        </w:rPr>
        <w:t xml:space="preserve"> </w:t>
      </w:r>
      <w:r w:rsidR="00CF77C4">
        <w:rPr>
          <w:lang w:eastAsia="en-GB"/>
        </w:rPr>
        <w:t xml:space="preserve"> IOO has similar dimensions as a factory hall and it could therefore be reasonable to reuse the same </w:t>
      </w:r>
      <w:proofErr w:type="spellStart"/>
      <w:r w:rsidR="00CF77C4">
        <w:rPr>
          <w:lang w:eastAsia="en-GB"/>
        </w:rPr>
        <w:t>NLoS</w:t>
      </w:r>
      <w:proofErr w:type="spellEnd"/>
      <w:r w:rsidR="00CF77C4">
        <w:rPr>
          <w:lang w:eastAsia="en-GB"/>
        </w:rPr>
        <w:t xml:space="preserve"> excess delay parameters as in the </w:t>
      </w:r>
      <w:proofErr w:type="spellStart"/>
      <w:r w:rsidR="00CF77C4">
        <w:rPr>
          <w:lang w:eastAsia="en-GB"/>
        </w:rPr>
        <w:t>InF</w:t>
      </w:r>
      <w:proofErr w:type="spellEnd"/>
      <w:r w:rsidR="00CF77C4">
        <w:rPr>
          <w:lang w:eastAsia="en-GB"/>
        </w:rPr>
        <w:t xml:space="preserve"> </w:t>
      </w:r>
      <w:r w:rsidR="00CF77C4">
        <w:rPr>
          <w:lang w:eastAsia="en-GB"/>
        </w:rPr>
        <w:lastRenderedPageBreak/>
        <w:t xml:space="preserve">model as given in </w:t>
      </w:r>
      <w:r w:rsidR="00CF77C4">
        <w:rPr>
          <w:lang w:eastAsia="en-GB"/>
        </w:rPr>
        <w:fldChar w:fldCharType="begin"/>
      </w:r>
      <w:r w:rsidR="00CF77C4">
        <w:rPr>
          <w:lang w:eastAsia="en-GB"/>
        </w:rPr>
        <w:instrText xml:space="preserve"> REF _Ref31124148 \h </w:instrText>
      </w:r>
      <w:r w:rsidR="00CF77C4">
        <w:rPr>
          <w:lang w:eastAsia="en-GB"/>
        </w:rPr>
      </w:r>
      <w:r w:rsidR="00CF77C4">
        <w:rPr>
          <w:lang w:eastAsia="en-GB"/>
        </w:rPr>
        <w:fldChar w:fldCharType="separate"/>
      </w:r>
      <w:r w:rsidR="00CF77C4">
        <w:t xml:space="preserve">Table </w:t>
      </w:r>
      <w:r w:rsidR="00CF77C4">
        <w:rPr>
          <w:noProof/>
        </w:rPr>
        <w:t>1</w:t>
      </w:r>
      <w:r w:rsidR="00CF77C4">
        <w:rPr>
          <w:lang w:eastAsia="en-GB"/>
        </w:rPr>
        <w:fldChar w:fldCharType="end"/>
      </w:r>
      <w:r w:rsidR="00CF77C4">
        <w:rPr>
          <w:lang w:eastAsia="en-GB"/>
        </w:rPr>
        <w:t xml:space="preserve">. For the </w:t>
      </w:r>
      <w:proofErr w:type="spellStart"/>
      <w:r w:rsidR="00CF77C4">
        <w:rPr>
          <w:lang w:eastAsia="en-GB"/>
        </w:rPr>
        <w:t>UMa</w:t>
      </w:r>
      <w:proofErr w:type="spellEnd"/>
      <w:r w:rsidR="00CF77C4">
        <w:rPr>
          <w:lang w:eastAsia="en-GB"/>
        </w:rPr>
        <w:t xml:space="preserve"> model, channel measurement results indicate that the mean </w:t>
      </w:r>
      <w:proofErr w:type="spellStart"/>
      <w:r w:rsidR="00CF77C4">
        <w:rPr>
          <w:lang w:eastAsia="en-GB"/>
        </w:rPr>
        <w:t>NLoS</w:t>
      </w:r>
      <w:proofErr w:type="spellEnd"/>
      <w:r w:rsidR="00CF77C4">
        <w:rPr>
          <w:lang w:eastAsia="en-GB"/>
        </w:rPr>
        <w:t xml:space="preserve"> excess delay is roughly the same as in the </w:t>
      </w:r>
      <w:proofErr w:type="spellStart"/>
      <w:r w:rsidR="00CF77C4">
        <w:rPr>
          <w:lang w:eastAsia="en-GB"/>
        </w:rPr>
        <w:t>inF</w:t>
      </w:r>
      <w:proofErr w:type="spellEnd"/>
      <w:r w:rsidR="00CF77C4">
        <w:rPr>
          <w:lang w:eastAsia="en-GB"/>
        </w:rPr>
        <w:t xml:space="preserve"> model. The </w:t>
      </w:r>
      <w:proofErr w:type="spellStart"/>
      <w:r w:rsidR="00CF77C4">
        <w:rPr>
          <w:lang w:eastAsia="en-GB"/>
        </w:rPr>
        <w:t>UMi</w:t>
      </w:r>
      <w:proofErr w:type="spellEnd"/>
      <w:r w:rsidR="00CF77C4">
        <w:rPr>
          <w:lang w:eastAsia="en-GB"/>
        </w:rPr>
        <w:t xml:space="preserve"> model would be expected to have </w:t>
      </w:r>
      <w:proofErr w:type="spellStart"/>
      <w:r w:rsidR="00CF77C4">
        <w:rPr>
          <w:lang w:eastAsia="en-GB"/>
        </w:rPr>
        <w:t>NLoS</w:t>
      </w:r>
      <w:proofErr w:type="spellEnd"/>
      <w:r w:rsidR="00CF77C4">
        <w:rPr>
          <w:lang w:eastAsia="en-GB"/>
        </w:rPr>
        <w:t xml:space="preserve"> excess delays that are intermediate between the </w:t>
      </w:r>
      <w:proofErr w:type="spellStart"/>
      <w:r w:rsidR="00CF77C4">
        <w:rPr>
          <w:lang w:eastAsia="en-GB"/>
        </w:rPr>
        <w:t>InF</w:t>
      </w:r>
      <w:proofErr w:type="spellEnd"/>
      <w:r w:rsidR="00CF77C4">
        <w:rPr>
          <w:lang w:eastAsia="en-GB"/>
        </w:rPr>
        <w:t xml:space="preserve"> models and the </w:t>
      </w:r>
      <w:proofErr w:type="spellStart"/>
      <w:r w:rsidR="00CF77C4">
        <w:rPr>
          <w:lang w:eastAsia="en-GB"/>
        </w:rPr>
        <w:t>UMa</w:t>
      </w:r>
      <w:proofErr w:type="spellEnd"/>
      <w:r w:rsidR="00CF77C4">
        <w:rPr>
          <w:lang w:eastAsia="en-GB"/>
        </w:rPr>
        <w:t xml:space="preserve"> model. We therefore propose to reuse the same </w:t>
      </w:r>
      <w:proofErr w:type="spellStart"/>
      <w:r w:rsidR="00CF77C4">
        <w:rPr>
          <w:lang w:eastAsia="en-GB"/>
        </w:rPr>
        <w:t>NLoS</w:t>
      </w:r>
      <w:proofErr w:type="spellEnd"/>
      <w:r w:rsidR="00CF77C4">
        <w:rPr>
          <w:lang w:eastAsia="en-GB"/>
        </w:rPr>
        <w:t xml:space="preserve"> excess delay parameters as in the </w:t>
      </w:r>
      <w:proofErr w:type="spellStart"/>
      <w:r w:rsidR="00CF77C4">
        <w:rPr>
          <w:lang w:eastAsia="en-GB"/>
        </w:rPr>
        <w:t>InF</w:t>
      </w:r>
      <w:proofErr w:type="spellEnd"/>
      <w:r w:rsidR="00CF77C4">
        <w:rPr>
          <w:lang w:eastAsia="en-GB"/>
        </w:rPr>
        <w:t xml:space="preserve"> models also for </w:t>
      </w:r>
      <w:proofErr w:type="spellStart"/>
      <w:r w:rsidR="00CF77C4">
        <w:rPr>
          <w:lang w:eastAsia="en-GB"/>
        </w:rPr>
        <w:t>UMi</w:t>
      </w:r>
      <w:proofErr w:type="spellEnd"/>
      <w:r w:rsidR="00CF77C4">
        <w:rPr>
          <w:lang w:eastAsia="en-GB"/>
        </w:rPr>
        <w:t>.</w:t>
      </w:r>
    </w:p>
    <w:p w14:paraId="5229D0DA" w14:textId="210CE9E6" w:rsidR="006A531D" w:rsidRDefault="00CF77C4" w:rsidP="00024EF4">
      <w:pPr>
        <w:pStyle w:val="Proposal"/>
        <w:rPr>
          <w:lang w:eastAsia="en-GB"/>
        </w:rPr>
      </w:pPr>
      <w:bookmarkStart w:id="19" w:name="_Toc47734448"/>
      <w:r>
        <w:t xml:space="preserve">Use the same lognormal parameters for the </w:t>
      </w:r>
      <w:proofErr w:type="spellStart"/>
      <w:r>
        <w:t>NLoS</w:t>
      </w:r>
      <w:proofErr w:type="spellEnd"/>
      <w:r>
        <w:t xml:space="preserve"> excess delay in IOO, </w:t>
      </w:r>
      <w:proofErr w:type="spellStart"/>
      <w:r>
        <w:t>UMi</w:t>
      </w:r>
      <w:proofErr w:type="spellEnd"/>
      <w:r>
        <w:t xml:space="preserve"> and </w:t>
      </w:r>
      <w:proofErr w:type="spellStart"/>
      <w:r>
        <w:t>UMa</w:t>
      </w:r>
      <w:proofErr w:type="spellEnd"/>
      <w:r>
        <w:t xml:space="preserve"> as the ones defined for the </w:t>
      </w:r>
      <w:proofErr w:type="spellStart"/>
      <w:r>
        <w:t>InF</w:t>
      </w:r>
      <w:proofErr w:type="spellEnd"/>
      <w:r>
        <w:t xml:space="preserve"> model in 38.901, i.e. log10(NLOS excess delay/1s) is normally distributed with mean mu=-7.5 and standard deviation sigma=0.4.</w:t>
      </w:r>
      <w:bookmarkEnd w:id="19"/>
      <w:r w:rsidR="00EC14C2">
        <w:t xml:space="preserve"> </w:t>
      </w:r>
      <w:bookmarkEnd w:id="1"/>
      <w:bookmarkEnd w:id="2"/>
      <w:bookmarkEnd w:id="3"/>
    </w:p>
    <w:p w14:paraId="12342C77" w14:textId="77777777" w:rsidR="00AA0C07" w:rsidRDefault="00AA0C07" w:rsidP="00DD2E69">
      <w:pPr>
        <w:pStyle w:val="3GPPH1"/>
        <w:numPr>
          <w:ilvl w:val="0"/>
          <w:numId w:val="11"/>
        </w:numPr>
        <w:ind w:left="425" w:hanging="425"/>
      </w:pPr>
      <w:r>
        <w:t xml:space="preserve">Channel </w:t>
      </w:r>
      <w:proofErr w:type="gramStart"/>
      <w:r>
        <w:t>measurement based</w:t>
      </w:r>
      <w:proofErr w:type="gramEnd"/>
      <w:r>
        <w:t xml:space="preserve"> evaluations</w:t>
      </w:r>
    </w:p>
    <w:p w14:paraId="769A7C77" w14:textId="533B7D14" w:rsidR="00AA0C07" w:rsidRDefault="00AA0C07" w:rsidP="00AA0C07">
      <w:pPr>
        <w:rPr>
          <w:lang w:eastAsia="en-GB"/>
        </w:rPr>
      </w:pPr>
      <w:r>
        <w:rPr>
          <w:lang w:eastAsia="en-GB"/>
        </w:rPr>
        <w:t xml:space="preserve">The statistical channel models utilized for performance evaluations in 3GPP obviously don’t give fully realistic channel properties. In delicate matters such as e.g. the development of discrimination between </w:t>
      </w:r>
      <w:proofErr w:type="spellStart"/>
      <w:r>
        <w:rPr>
          <w:lang w:eastAsia="en-GB"/>
        </w:rPr>
        <w:t>LoS</w:t>
      </w:r>
      <w:proofErr w:type="spellEnd"/>
      <w:r>
        <w:rPr>
          <w:lang w:eastAsia="en-GB"/>
        </w:rPr>
        <w:t xml:space="preserve"> and </w:t>
      </w:r>
      <w:proofErr w:type="spellStart"/>
      <w:r>
        <w:rPr>
          <w:lang w:eastAsia="en-GB"/>
        </w:rPr>
        <w:t>NLoS</w:t>
      </w:r>
      <w:proofErr w:type="spellEnd"/>
      <w:r>
        <w:rPr>
          <w:lang w:eastAsia="en-GB"/>
        </w:rPr>
        <w:t xml:space="preserve"> links this could be problematic. For such </w:t>
      </w:r>
      <w:proofErr w:type="gramStart"/>
      <w:r>
        <w:rPr>
          <w:lang w:eastAsia="en-GB"/>
        </w:rPr>
        <w:t>purposes ,</w:t>
      </w:r>
      <w:proofErr w:type="gramEnd"/>
      <w:r>
        <w:rPr>
          <w:lang w:eastAsia="en-GB"/>
        </w:rPr>
        <w:t xml:space="preserve"> the use of channel measurements can be a good complement to the statistical models normally utilized.</w:t>
      </w:r>
    </w:p>
    <w:p w14:paraId="69798764" w14:textId="050AC529" w:rsidR="00BF52DD" w:rsidRPr="00F00699" w:rsidRDefault="00AA0C07" w:rsidP="00BF52DD">
      <w:pPr>
        <w:pStyle w:val="Proposal"/>
        <w:tabs>
          <w:tab w:val="num" w:pos="1730"/>
        </w:tabs>
        <w:ind w:left="1730" w:hanging="1304"/>
      </w:pPr>
      <w:bookmarkStart w:id="20" w:name="_Toc47734449"/>
      <w:r>
        <w:t xml:space="preserve">The usage of channel </w:t>
      </w:r>
      <w:proofErr w:type="gramStart"/>
      <w:r>
        <w:t>measurement based</w:t>
      </w:r>
      <w:proofErr w:type="gramEnd"/>
      <w:r>
        <w:t xml:space="preserve"> evaluations as a complement to evaluations based on statistical channel models is encouraged e.g. for development of discrimination between </w:t>
      </w:r>
      <w:proofErr w:type="spellStart"/>
      <w:r>
        <w:t>LoS</w:t>
      </w:r>
      <w:proofErr w:type="spellEnd"/>
      <w:r>
        <w:t xml:space="preserve"> and </w:t>
      </w:r>
      <w:proofErr w:type="spellStart"/>
      <w:r>
        <w:t>NLoS</w:t>
      </w:r>
      <w:proofErr w:type="spellEnd"/>
      <w:r>
        <w:t>.</w:t>
      </w:r>
      <w:bookmarkEnd w:id="20"/>
    </w:p>
    <w:p w14:paraId="55C193BD" w14:textId="77777777" w:rsidR="00C01F33" w:rsidRPr="00CE0424" w:rsidRDefault="00C01F33" w:rsidP="00CE0424">
      <w:pPr>
        <w:pStyle w:val="Heading1"/>
      </w:pPr>
      <w:r w:rsidRPr="00CE0424">
        <w:t>Conclusion</w:t>
      </w:r>
    </w:p>
    <w:p w14:paraId="7E4D8D6D" w14:textId="77777777" w:rsidR="008E065E" w:rsidRPr="00354CC0" w:rsidRDefault="008E065E" w:rsidP="008E065E">
      <w:pPr>
        <w:pStyle w:val="BodyText"/>
        <w:rPr>
          <w:b/>
        </w:rPr>
      </w:pPr>
      <w:r w:rsidRPr="00354CC0">
        <w:t xml:space="preserve">In </w:t>
      </w:r>
      <w:r w:rsidR="007729A2" w:rsidRPr="00354CC0">
        <w:t xml:space="preserve">the previous </w:t>
      </w:r>
      <w:r w:rsidRPr="00354CC0">
        <w:t>section</w:t>
      </w:r>
      <w:r w:rsidR="007729A2" w:rsidRPr="00354CC0">
        <w:t>s</w:t>
      </w:r>
      <w:r w:rsidRPr="00354CC0">
        <w:t xml:space="preserve"> we made the following observations:</w:t>
      </w:r>
      <w:r w:rsidR="00C93814" w:rsidRPr="00354CC0">
        <w:rPr>
          <w:b/>
        </w:rPr>
        <w:t xml:space="preserve"> </w:t>
      </w:r>
    </w:p>
    <w:p w14:paraId="45FA591F" w14:textId="77777777" w:rsidR="00DF0FE2"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Cs/>
        </w:rPr>
        <w:instrText xml:space="preserve"> TOC \f O \n \h \z \t "Observation" \c </w:instrText>
      </w:r>
      <w:r>
        <w:rPr>
          <w:b w:val="0"/>
          <w:bCs/>
        </w:rPr>
        <w:fldChar w:fldCharType="separate"/>
      </w:r>
      <w:hyperlink w:anchor="_Toc47734465" w:history="1">
        <w:r w:rsidR="00DF0FE2" w:rsidRPr="00010543">
          <w:rPr>
            <w:rStyle w:val="Hyperlink"/>
            <w:noProof/>
          </w:rPr>
          <w:t>Observation 1</w:t>
        </w:r>
        <w:r w:rsidR="00DF0FE2">
          <w:rPr>
            <w:rFonts w:asciiTheme="minorHAnsi" w:eastAsiaTheme="minorEastAsia" w:hAnsiTheme="minorHAnsi" w:cstheme="minorBidi"/>
            <w:b w:val="0"/>
            <w:noProof/>
            <w:sz w:val="24"/>
            <w:szCs w:val="24"/>
            <w:lang w:val="en-SE" w:eastAsia="ja-JP"/>
          </w:rPr>
          <w:tab/>
        </w:r>
        <w:r w:rsidR="00DF0FE2" w:rsidRPr="00010543">
          <w:rPr>
            <w:rStyle w:val="Hyperlink"/>
            <w:noProof/>
          </w:rPr>
          <w:t>Reducing the Physical layer portion of the total latency budget should be investigated by RAN1.</w:t>
        </w:r>
      </w:hyperlink>
    </w:p>
    <w:p w14:paraId="70932797" w14:textId="3039CBA3"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354CC0" w:rsidRDefault="008E065E" w:rsidP="006E1C82">
      <w:pPr>
        <w:pStyle w:val="BodyText"/>
      </w:pPr>
      <w:r w:rsidRPr="00354CC0">
        <w:t xml:space="preserve">Based on the discussion in </w:t>
      </w:r>
      <w:r w:rsidR="007729A2" w:rsidRPr="00354CC0">
        <w:t xml:space="preserve">the previous </w:t>
      </w:r>
      <w:r w:rsidRPr="00354CC0">
        <w:t>section</w:t>
      </w:r>
      <w:r w:rsidR="007729A2" w:rsidRPr="00354CC0">
        <w:t>s</w:t>
      </w:r>
      <w:r w:rsidRPr="00354CC0">
        <w:t xml:space="preserve"> we propose the following:</w:t>
      </w:r>
    </w:p>
    <w:p w14:paraId="3BE1C0E4" w14:textId="77777777" w:rsidR="00DF0FE2"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Cs/>
        </w:rPr>
        <w:instrText xml:space="preserve"> TOC \n \h \z \t "Proposal" \c </w:instrText>
      </w:r>
      <w:r>
        <w:rPr>
          <w:b w:val="0"/>
          <w:bCs/>
        </w:rPr>
        <w:fldChar w:fldCharType="separate"/>
      </w:r>
      <w:hyperlink w:anchor="_Toc47734435" w:history="1">
        <w:r w:rsidR="00DF0FE2" w:rsidRPr="00FD3188">
          <w:rPr>
            <w:rStyle w:val="Hyperlink"/>
            <w:noProof/>
          </w:rPr>
          <w:t>Proposal 1</w:t>
        </w:r>
        <w:r w:rsidR="00DF0FE2">
          <w:rPr>
            <w:rFonts w:asciiTheme="minorHAnsi" w:eastAsiaTheme="minorEastAsia" w:hAnsiTheme="minorHAnsi" w:cstheme="minorBidi"/>
            <w:b w:val="0"/>
            <w:noProof/>
            <w:sz w:val="24"/>
            <w:szCs w:val="24"/>
            <w:lang w:val="en-SE" w:eastAsia="ja-JP"/>
          </w:rPr>
          <w:tab/>
        </w:r>
        <w:r w:rsidR="00DF0FE2" w:rsidRPr="00FD3188">
          <w:rPr>
            <w:rStyle w:val="Hyperlink"/>
            <w:noProof/>
          </w:rPr>
          <w:t>Accuracy for commercial and IIOT use cases is defined for 90 percent of UEs</w:t>
        </w:r>
      </w:hyperlink>
    </w:p>
    <w:p w14:paraId="5EB1B4B5"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36" w:history="1">
        <w:r w:rsidRPr="00FD3188">
          <w:rPr>
            <w:rStyle w:val="Hyperlink"/>
            <w:noProof/>
          </w:rPr>
          <w:t>Proposal 2</w:t>
        </w:r>
        <w:r>
          <w:rPr>
            <w:rFonts w:asciiTheme="minorHAnsi" w:eastAsiaTheme="minorEastAsia" w:hAnsiTheme="minorHAnsi" w:cstheme="minorBidi"/>
            <w:b w:val="0"/>
            <w:noProof/>
            <w:sz w:val="24"/>
            <w:szCs w:val="24"/>
            <w:lang w:val="en-SE" w:eastAsia="ja-JP"/>
          </w:rPr>
          <w:tab/>
        </w:r>
        <w:r w:rsidRPr="00FD3188">
          <w:rPr>
            <w:rStyle w:val="Hyperlink"/>
            <w:noProof/>
          </w:rPr>
          <w:t>Do not specify a target for vertical accuracy for commercial use cases</w:t>
        </w:r>
      </w:hyperlink>
    </w:p>
    <w:p w14:paraId="626E6156"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37" w:history="1">
        <w:r w:rsidRPr="00FD3188">
          <w:rPr>
            <w:rStyle w:val="Hyperlink"/>
            <w:noProof/>
          </w:rPr>
          <w:t>Proposal 3</w:t>
        </w:r>
        <w:r>
          <w:rPr>
            <w:rFonts w:asciiTheme="minorHAnsi" w:eastAsiaTheme="minorEastAsia" w:hAnsiTheme="minorHAnsi" w:cstheme="minorBidi"/>
            <w:b w:val="0"/>
            <w:noProof/>
            <w:sz w:val="24"/>
            <w:szCs w:val="24"/>
            <w:lang w:val="en-SE" w:eastAsia="ja-JP"/>
          </w:rPr>
          <w:tab/>
        </w:r>
        <w:r w:rsidRPr="00FD3188">
          <w:rPr>
            <w:rStyle w:val="Hyperlink"/>
            <w:noProof/>
          </w:rPr>
          <w:t>In Rel-17 target positioning requirements for IIoT use cases are defined as follows:</w:t>
        </w:r>
      </w:hyperlink>
    </w:p>
    <w:p w14:paraId="3F991B6D" w14:textId="77777777" w:rsidR="00DF0FE2" w:rsidRDefault="00DF0FE2" w:rsidP="00DF0FE2">
      <w:pPr>
        <w:pStyle w:val="TableofFigures"/>
        <w:tabs>
          <w:tab w:val="right" w:leader="dot" w:pos="9629"/>
        </w:tabs>
        <w:ind w:left="3402"/>
        <w:rPr>
          <w:rFonts w:asciiTheme="minorHAnsi" w:eastAsiaTheme="minorEastAsia" w:hAnsiTheme="minorHAnsi" w:cstheme="minorBidi"/>
          <w:b w:val="0"/>
          <w:noProof/>
          <w:sz w:val="24"/>
          <w:szCs w:val="24"/>
          <w:lang w:val="en-SE" w:eastAsia="ja-JP"/>
        </w:rPr>
      </w:pPr>
      <w:hyperlink w:anchor="_Toc47734438" w:history="1">
        <w:r w:rsidRPr="00FD3188">
          <w:rPr>
            <w:rStyle w:val="Hyperlink"/>
            <w:noProof/>
          </w:rPr>
          <w:t>- H</w:t>
        </w:r>
        <w:r w:rsidRPr="00FD3188">
          <w:rPr>
            <w:rStyle w:val="Hyperlink"/>
            <w:noProof/>
          </w:rPr>
          <w:t>o</w:t>
        </w:r>
        <w:r w:rsidRPr="00FD3188">
          <w:rPr>
            <w:rStyle w:val="Hyperlink"/>
            <w:noProof/>
          </w:rPr>
          <w:t>rizontal position accuracy (&lt; X m) for [90%] of UEs</w:t>
        </w:r>
      </w:hyperlink>
    </w:p>
    <w:p w14:paraId="6FBDEFC0" w14:textId="77777777" w:rsidR="00DF0FE2" w:rsidRDefault="00DF0FE2" w:rsidP="00DF0FE2">
      <w:pPr>
        <w:pStyle w:val="TableofFigures"/>
        <w:tabs>
          <w:tab w:val="right" w:leader="dot" w:pos="9629"/>
        </w:tabs>
        <w:ind w:left="3402"/>
        <w:rPr>
          <w:rFonts w:asciiTheme="minorHAnsi" w:eastAsiaTheme="minorEastAsia" w:hAnsiTheme="minorHAnsi" w:cstheme="minorBidi"/>
          <w:b w:val="0"/>
          <w:noProof/>
          <w:sz w:val="24"/>
          <w:szCs w:val="24"/>
          <w:lang w:val="en-SE" w:eastAsia="ja-JP"/>
        </w:rPr>
      </w:pPr>
      <w:hyperlink w:anchor="_Toc47734439" w:history="1">
        <w:r w:rsidRPr="00FD3188">
          <w:rPr>
            <w:rStyle w:val="Hyperlink"/>
            <w:noProof/>
          </w:rPr>
          <w:t>- X = 0.2  m</w:t>
        </w:r>
      </w:hyperlink>
    </w:p>
    <w:p w14:paraId="64A379B5" w14:textId="77777777" w:rsidR="00DF0FE2" w:rsidRDefault="00DF0FE2" w:rsidP="00DF0FE2">
      <w:pPr>
        <w:pStyle w:val="TableofFigures"/>
        <w:tabs>
          <w:tab w:val="right" w:leader="dot" w:pos="9629"/>
        </w:tabs>
        <w:ind w:left="3402"/>
        <w:rPr>
          <w:rFonts w:asciiTheme="minorHAnsi" w:eastAsiaTheme="minorEastAsia" w:hAnsiTheme="minorHAnsi" w:cstheme="minorBidi"/>
          <w:b w:val="0"/>
          <w:noProof/>
          <w:sz w:val="24"/>
          <w:szCs w:val="24"/>
          <w:lang w:val="en-SE" w:eastAsia="ja-JP"/>
        </w:rPr>
      </w:pPr>
      <w:hyperlink w:anchor="_Toc47734440" w:history="1">
        <w:r w:rsidRPr="00FD3188">
          <w:rPr>
            <w:rStyle w:val="Hyperlink"/>
            <w:noProof/>
          </w:rPr>
          <w:t>- (Optional) Vertical position accuracy (&lt; Y m) for [90%] of UEs</w:t>
        </w:r>
      </w:hyperlink>
    </w:p>
    <w:p w14:paraId="6E80F064" w14:textId="77777777" w:rsidR="00DF0FE2" w:rsidRDefault="00DF0FE2" w:rsidP="00DF0FE2">
      <w:pPr>
        <w:pStyle w:val="TableofFigures"/>
        <w:tabs>
          <w:tab w:val="right" w:leader="dot" w:pos="9629"/>
        </w:tabs>
        <w:ind w:left="3402"/>
        <w:rPr>
          <w:rFonts w:asciiTheme="minorHAnsi" w:eastAsiaTheme="minorEastAsia" w:hAnsiTheme="minorHAnsi" w:cstheme="minorBidi"/>
          <w:b w:val="0"/>
          <w:noProof/>
          <w:sz w:val="24"/>
          <w:szCs w:val="24"/>
          <w:lang w:val="en-SE" w:eastAsia="ja-JP"/>
        </w:rPr>
      </w:pPr>
      <w:hyperlink w:anchor="_Toc47734441" w:history="1">
        <w:r w:rsidRPr="00FD3188">
          <w:rPr>
            <w:rStyle w:val="Hyperlink"/>
            <w:noProof/>
          </w:rPr>
          <w:t>- Y = 0.2 or 1 m</w:t>
        </w:r>
      </w:hyperlink>
    </w:p>
    <w:p w14:paraId="63930BC9"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2" w:history="1">
        <w:r w:rsidRPr="00FD3188">
          <w:rPr>
            <w:rStyle w:val="Hyperlink"/>
            <w:noProof/>
          </w:rPr>
          <w:t>Proposal 4</w:t>
        </w:r>
        <w:r>
          <w:rPr>
            <w:rFonts w:asciiTheme="minorHAnsi" w:eastAsiaTheme="minorEastAsia" w:hAnsiTheme="minorHAnsi" w:cstheme="minorBidi"/>
            <w:b w:val="0"/>
            <w:noProof/>
            <w:sz w:val="24"/>
            <w:szCs w:val="24"/>
            <w:lang w:val="en-SE" w:eastAsia="ja-JP"/>
          </w:rPr>
          <w:tab/>
        </w:r>
        <w:r w:rsidRPr="00FD3188">
          <w:rPr>
            <w:rStyle w:val="Hyperlink"/>
            <w:noProof/>
          </w:rPr>
          <w:t>Target latency should include at least 100ms end to end, for both IIOT and commercial use cases</w:t>
        </w:r>
      </w:hyperlink>
    </w:p>
    <w:p w14:paraId="1B3807BF"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3" w:history="1">
        <w:r w:rsidRPr="00FD3188">
          <w:rPr>
            <w:rStyle w:val="Hyperlink"/>
            <w:noProof/>
          </w:rPr>
          <w:t>Proposal 5</w:t>
        </w:r>
        <w:r>
          <w:rPr>
            <w:rFonts w:asciiTheme="minorHAnsi" w:eastAsiaTheme="minorEastAsia" w:hAnsiTheme="minorHAnsi" w:cstheme="minorBidi"/>
            <w:b w:val="0"/>
            <w:noProof/>
            <w:sz w:val="24"/>
            <w:szCs w:val="24"/>
            <w:lang w:val="en-SE" w:eastAsia="ja-JP"/>
          </w:rPr>
          <w:tab/>
        </w:r>
        <w:r w:rsidRPr="00FD3188">
          <w:rPr>
            <w:rStyle w:val="Hyperlink"/>
            <w:noProof/>
          </w:rPr>
          <w:t>Network efficiency can be evaluated by complementing simulation results with the number of resources needed to obtain the results. Alternatively, the percentage of UL/DL transmission dedicated to positioning could be provided.</w:t>
        </w:r>
      </w:hyperlink>
    </w:p>
    <w:p w14:paraId="4F8DE92D"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4" w:history="1">
        <w:r w:rsidRPr="00FD3188">
          <w:rPr>
            <w:rStyle w:val="Hyperlink"/>
            <w:noProof/>
          </w:rPr>
          <w:t>Proposal 6</w:t>
        </w:r>
        <w:r>
          <w:rPr>
            <w:rFonts w:asciiTheme="minorHAnsi" w:eastAsiaTheme="minorEastAsia" w:hAnsiTheme="minorHAnsi" w:cstheme="minorBidi"/>
            <w:b w:val="0"/>
            <w:noProof/>
            <w:sz w:val="24"/>
            <w:szCs w:val="24"/>
            <w:lang w:val="en-SE" w:eastAsia="ja-JP"/>
          </w:rPr>
          <w:tab/>
        </w:r>
        <w:r w:rsidRPr="00FD3188">
          <w:rPr>
            <w:rStyle w:val="Hyperlink"/>
            <w:noProof/>
          </w:rPr>
          <w:t xml:space="preserve">Following evaluation assumptions being discussed in NR Rel-17 feMIMO WI, the 4-panels of the UE in the </w:t>
        </w:r>
        <w:r w:rsidRPr="00FD3188">
          <w:rPr>
            <w:rStyle w:val="Hyperlink"/>
            <w:noProof/>
            <w:lang w:eastAsia="x-none"/>
          </w:rPr>
          <w:t xml:space="preserve">UE antenna configuration for FR2 </w:t>
        </w:r>
        <w:r w:rsidRPr="00FD3188">
          <w:rPr>
            <w:rStyle w:val="Hyperlink"/>
            <w:noProof/>
          </w:rPr>
          <w:t>can be assumed to be placed at the left, right, top, and bollom of the UE.</w:t>
        </w:r>
      </w:hyperlink>
    </w:p>
    <w:p w14:paraId="1237456F"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5" w:history="1">
        <w:r w:rsidRPr="00FD3188">
          <w:rPr>
            <w:rStyle w:val="Hyperlink"/>
            <w:noProof/>
          </w:rPr>
          <w:t>Proposal 7</w:t>
        </w:r>
        <w:r>
          <w:rPr>
            <w:rFonts w:asciiTheme="minorHAnsi" w:eastAsiaTheme="minorEastAsia" w:hAnsiTheme="minorHAnsi" w:cstheme="minorBidi"/>
            <w:b w:val="0"/>
            <w:noProof/>
            <w:sz w:val="24"/>
            <w:szCs w:val="24"/>
            <w:lang w:val="en-SE" w:eastAsia="ja-JP"/>
          </w:rPr>
          <w:tab/>
        </w:r>
        <w:r w:rsidRPr="00FD3188">
          <w:rPr>
            <w:rStyle w:val="Hyperlink"/>
            <w:noProof/>
          </w:rPr>
          <w:t xml:space="preserve">Following evaluation assumptions being discussed in NR Rel-17 feMIMO WI, each panel for </w:t>
        </w:r>
        <w:r w:rsidRPr="00FD3188">
          <w:rPr>
            <w:rStyle w:val="Hyperlink"/>
            <w:noProof/>
            <w:lang w:eastAsia="x-none"/>
          </w:rPr>
          <w:t xml:space="preserve">UE antenna configuration for FR2 can be assumed to have </w:t>
        </w:r>
        <w:r w:rsidRPr="00FD3188">
          <w:rPr>
            <w:rStyle w:val="Hyperlink"/>
            <w:noProof/>
          </w:rPr>
          <w:t>(M, N, P) = (1, 4, 2) with a horizontal antenna spacing of d</w:t>
        </w:r>
        <w:r w:rsidRPr="00FD3188">
          <w:rPr>
            <w:rStyle w:val="Hyperlink"/>
            <w:noProof/>
            <w:vertAlign w:val="subscript"/>
          </w:rPr>
          <w:t>H</w:t>
        </w:r>
        <w:r w:rsidRPr="00FD3188">
          <w:rPr>
            <w:rStyle w:val="Hyperlink"/>
            <w:noProof/>
          </w:rPr>
          <w:t xml:space="preserve"> = 0.5 </w:t>
        </w:r>
        <w:r w:rsidRPr="00FD3188">
          <w:rPr>
            <w:rStyle w:val="Hyperlink"/>
            <w:noProof/>
            <w:lang w:val="en-GB"/>
          </w:rPr>
          <w:t>λ</w:t>
        </w:r>
        <w:r w:rsidRPr="00FD3188">
          <w:rPr>
            <w:rStyle w:val="Hyperlink"/>
            <w:noProof/>
          </w:rPr>
          <w:t>.</w:t>
        </w:r>
      </w:hyperlink>
    </w:p>
    <w:p w14:paraId="6D6F5DE2"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6" w:history="1">
        <w:r w:rsidRPr="00FD3188">
          <w:rPr>
            <w:rStyle w:val="Hyperlink"/>
            <w:noProof/>
          </w:rPr>
          <w:t>Proposal 8</w:t>
        </w:r>
        <w:r>
          <w:rPr>
            <w:rFonts w:asciiTheme="minorHAnsi" w:eastAsiaTheme="minorEastAsia" w:hAnsiTheme="minorHAnsi" w:cstheme="minorBidi"/>
            <w:b w:val="0"/>
            <w:noProof/>
            <w:sz w:val="24"/>
            <w:szCs w:val="24"/>
            <w:lang w:val="en-SE" w:eastAsia="ja-JP"/>
          </w:rPr>
          <w:tab/>
        </w:r>
        <w:r w:rsidRPr="00FD3188">
          <w:rPr>
            <w:rStyle w:val="Hyperlink"/>
            <w:noProof/>
          </w:rPr>
          <w:t>For UE evaluation assumptions in FR2, it is assumed that the UE can receive or transmit at most from one panel at a time with a panel activation delay of 0ms.</w:t>
        </w:r>
      </w:hyperlink>
    </w:p>
    <w:p w14:paraId="64718788"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7" w:history="1">
        <w:r w:rsidRPr="00FD3188">
          <w:rPr>
            <w:rStyle w:val="Hyperlink"/>
            <w:noProof/>
          </w:rPr>
          <w:t>Proposal 9</w:t>
        </w:r>
        <w:r>
          <w:rPr>
            <w:rFonts w:asciiTheme="minorHAnsi" w:eastAsiaTheme="minorEastAsia" w:hAnsiTheme="minorHAnsi" w:cstheme="minorBidi"/>
            <w:b w:val="0"/>
            <w:noProof/>
            <w:sz w:val="24"/>
            <w:szCs w:val="24"/>
            <w:lang w:val="en-SE" w:eastAsia="ja-JP"/>
          </w:rPr>
          <w:tab/>
        </w:r>
        <w:r w:rsidRPr="00FD3188">
          <w:rPr>
            <w:rStyle w:val="Hyperlink"/>
            <w:noProof/>
          </w:rPr>
          <w:t>The values for X and Y characterizing the UE /gNB Rx and Tx timing error are provided by companies when submitting results.</w:t>
        </w:r>
      </w:hyperlink>
    </w:p>
    <w:p w14:paraId="726963EA"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8" w:history="1">
        <w:r w:rsidRPr="00FD3188">
          <w:rPr>
            <w:rStyle w:val="Hyperlink"/>
            <w:noProof/>
            <w:lang w:eastAsia="en-GB"/>
          </w:rPr>
          <w:t>Proposal 10</w:t>
        </w:r>
        <w:r>
          <w:rPr>
            <w:rFonts w:asciiTheme="minorHAnsi" w:eastAsiaTheme="minorEastAsia" w:hAnsiTheme="minorHAnsi" w:cstheme="minorBidi"/>
            <w:b w:val="0"/>
            <w:noProof/>
            <w:sz w:val="24"/>
            <w:szCs w:val="24"/>
            <w:lang w:val="en-SE" w:eastAsia="ja-JP"/>
          </w:rPr>
          <w:tab/>
        </w:r>
        <w:r w:rsidRPr="00FD3188">
          <w:rPr>
            <w:rStyle w:val="Hyperlink"/>
            <w:noProof/>
          </w:rPr>
          <w:t>Use the same lognormal parameters for the NLoS excess delay in IOO, UMi and UMa as the ones defined for the InF model in 38.901, i.e. log10(NLOS excess delay/1s) is normally distributed with mean mu=-7.5 and standard deviation sigma=0.4.</w:t>
        </w:r>
      </w:hyperlink>
    </w:p>
    <w:p w14:paraId="502AFD58" w14:textId="77777777" w:rsidR="00DF0FE2" w:rsidRDefault="00DF0FE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734449" w:history="1">
        <w:r w:rsidRPr="00FD3188">
          <w:rPr>
            <w:rStyle w:val="Hyperlink"/>
            <w:noProof/>
          </w:rPr>
          <w:t>Proposal 11</w:t>
        </w:r>
        <w:r>
          <w:rPr>
            <w:rFonts w:asciiTheme="minorHAnsi" w:eastAsiaTheme="minorEastAsia" w:hAnsiTheme="minorHAnsi" w:cstheme="minorBidi"/>
            <w:b w:val="0"/>
            <w:noProof/>
            <w:sz w:val="24"/>
            <w:szCs w:val="24"/>
            <w:lang w:val="en-SE" w:eastAsia="ja-JP"/>
          </w:rPr>
          <w:tab/>
        </w:r>
        <w:r w:rsidRPr="00FD3188">
          <w:rPr>
            <w:rStyle w:val="Hyperlink"/>
            <w:noProof/>
          </w:rPr>
          <w:t>The usage of channel measurement based evaluations as a complement to evaluations based on statistical channel models is encouraged e.g. for development of discrimination between LoS and NLoS.</w:t>
        </w:r>
      </w:hyperlink>
    </w:p>
    <w:p w14:paraId="405CB9AA" w14:textId="1C460432"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21" w:name="_In-sequence_SDU_delivery"/>
      <w:bookmarkEnd w:id="21"/>
      <w:r w:rsidRPr="00CE0424">
        <w:t>References</w:t>
      </w:r>
    </w:p>
    <w:p w14:paraId="19C3EF5B" w14:textId="296829E2" w:rsidR="00D37A9A" w:rsidRDefault="00845D7F" w:rsidP="00D37A9A">
      <w:pPr>
        <w:pStyle w:val="Reference"/>
      </w:pPr>
      <w:bookmarkStart w:id="22" w:name="_Ref174151459"/>
      <w:bookmarkStart w:id="23" w:name="_Ref189809556"/>
      <w:r>
        <w:t>RP-193237</w:t>
      </w:r>
      <w:r w:rsidR="00D37A9A">
        <w:t>, “New SID on NR Positioning Enhancements</w:t>
      </w:r>
      <w:r w:rsidR="008421FF">
        <w:t>”</w:t>
      </w:r>
      <w:r w:rsidR="00D37A9A">
        <w:t>, Qualcomm Incorporated</w:t>
      </w:r>
      <w:r w:rsidR="00890F01">
        <w:t xml:space="preserve">, </w:t>
      </w:r>
      <w:proofErr w:type="spellStart"/>
      <w:r w:rsidR="00890F01">
        <w:t>Sitges</w:t>
      </w:r>
      <w:proofErr w:type="spellEnd"/>
      <w:r w:rsidR="00890F01">
        <w:t xml:space="preserve">, Spain, </w:t>
      </w:r>
      <w:r w:rsidR="00597EFB">
        <w:t>December</w:t>
      </w:r>
      <w:r w:rsidR="00890F01">
        <w:t xml:space="preserve"> 2019</w:t>
      </w:r>
    </w:p>
    <w:p w14:paraId="0662E9E0" w14:textId="6F0BD2F3" w:rsidR="00AE094D" w:rsidRPr="00092242" w:rsidRDefault="00AE094D" w:rsidP="00092242">
      <w:pPr>
        <w:pStyle w:val="Reference"/>
      </w:pPr>
      <w:r>
        <w:t>Propagation channel impact on LTE positioning accuracy: A study based on real measurements of observed time difference of arrival</w:t>
      </w:r>
      <w:r w:rsidR="00092242">
        <w:t xml:space="preserve">, </w:t>
      </w:r>
      <w:r w:rsidRPr="00092242">
        <w:t xml:space="preserve">Jonas Medbo </w:t>
      </w:r>
      <w:r w:rsidR="00092242">
        <w:t xml:space="preserve">et al, </w:t>
      </w:r>
      <w:r w:rsidR="00501BC9">
        <w:t>PIMRC 2009</w:t>
      </w:r>
      <w:r w:rsidR="005E3225">
        <w:t>.</w:t>
      </w:r>
    </w:p>
    <w:p w14:paraId="22B6C51B" w14:textId="4B9DC347" w:rsidR="004015C8" w:rsidRDefault="005E3225" w:rsidP="00B67BA7">
      <w:pPr>
        <w:pStyle w:val="Reference"/>
      </w:pPr>
      <w:bookmarkStart w:id="24" w:name="_Ref40357625"/>
      <w:r>
        <w:t>R4-1903962</w:t>
      </w:r>
      <w:r w:rsidR="00F16C7A">
        <w:t>, “</w:t>
      </w:r>
      <w:r w:rsidR="008421FF">
        <w:t>On the P-MPR needed for compliance with MPE requirements and relation to FR2 UL duty cycle</w:t>
      </w:r>
      <w:r w:rsidR="00F16C7A">
        <w:t>”</w:t>
      </w:r>
      <w:r w:rsidR="008421FF">
        <w:t xml:space="preserve">, </w:t>
      </w:r>
      <w:r w:rsidR="00402434">
        <w:t>Ericsson, Sony RAN4#90bis, April 2019.</w:t>
      </w:r>
      <w:bookmarkEnd w:id="22"/>
      <w:bookmarkEnd w:id="23"/>
      <w:bookmarkEnd w:id="24"/>
    </w:p>
    <w:p w14:paraId="7E59565A" w14:textId="54495855" w:rsidR="005A42BD" w:rsidRDefault="005A42BD">
      <w:pPr>
        <w:rPr>
          <w:rFonts w:ascii="Arial" w:hAnsi="Arial"/>
          <w:lang w:eastAsia="zh-CN"/>
        </w:rPr>
      </w:pPr>
      <w:r>
        <w:br w:type="page"/>
      </w:r>
    </w:p>
    <w:sectPr w:rsidR="005A42B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071F5" w14:textId="77777777" w:rsidR="0033616C" w:rsidRDefault="0033616C">
      <w:r>
        <w:separator/>
      </w:r>
    </w:p>
  </w:endnote>
  <w:endnote w:type="continuationSeparator" w:id="0">
    <w:p w14:paraId="07BFE423" w14:textId="77777777" w:rsidR="0033616C" w:rsidRDefault="0033616C">
      <w:r>
        <w:continuationSeparator/>
      </w:r>
    </w:p>
  </w:endnote>
  <w:endnote w:type="continuationNotice" w:id="1">
    <w:p w14:paraId="78326F95" w14:textId="77777777" w:rsidR="0033616C" w:rsidRDefault="00336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NimbusRomNo9L-Regu">
    <w:altName w:val="Calibri"/>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3956E" w14:textId="77777777" w:rsidR="0033616C" w:rsidRDefault="0033616C">
      <w:r>
        <w:separator/>
      </w:r>
    </w:p>
  </w:footnote>
  <w:footnote w:type="continuationSeparator" w:id="0">
    <w:p w14:paraId="7F49568D" w14:textId="77777777" w:rsidR="0033616C" w:rsidRDefault="0033616C">
      <w:r>
        <w:continuationSeparator/>
      </w:r>
    </w:p>
  </w:footnote>
  <w:footnote w:type="continuationNotice" w:id="1">
    <w:p w14:paraId="48A95141" w14:textId="77777777" w:rsidR="0033616C" w:rsidRDefault="00336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382F2E"/>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A0402E"/>
    <w:multiLevelType w:val="hybridMultilevel"/>
    <w:tmpl w:val="D894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
  </w:num>
  <w:num w:numId="3">
    <w:abstractNumId w:val="21"/>
  </w:num>
  <w:num w:numId="4">
    <w:abstractNumId w:val="22"/>
  </w:num>
  <w:num w:numId="5">
    <w:abstractNumId w:val="9"/>
  </w:num>
  <w:num w:numId="6">
    <w:abstractNumId w:val="10"/>
  </w:num>
  <w:num w:numId="7">
    <w:abstractNumId w:val="6"/>
  </w:num>
  <w:num w:numId="8">
    <w:abstractNumId w:val="28"/>
  </w:num>
  <w:num w:numId="9">
    <w:abstractNumId w:val="15"/>
  </w:num>
  <w:num w:numId="10">
    <w:abstractNumId w:val="27"/>
  </w:num>
  <w:num w:numId="11">
    <w:abstractNumId w:val="2"/>
  </w:num>
  <w:num w:numId="1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4"/>
  </w:num>
  <w:num w:numId="21">
    <w:abstractNumId w:val="8"/>
  </w:num>
  <w:num w:numId="22">
    <w:abstractNumId w:val="23"/>
  </w:num>
  <w:num w:numId="23">
    <w:abstractNumId w:val="24"/>
  </w:num>
  <w:num w:numId="24">
    <w:abstractNumId w:val="25"/>
  </w:num>
  <w:num w:numId="25">
    <w:abstractNumId w:val="17"/>
  </w:num>
  <w:num w:numId="26">
    <w:abstractNumId w:val="26"/>
  </w:num>
  <w:num w:numId="27">
    <w:abstractNumId w:val="4"/>
  </w:num>
  <w:num w:numId="28">
    <w:abstractNumId w:val="5"/>
  </w:num>
  <w:num w:numId="2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30"/>
    <w:rsid w:val="000030D9"/>
    <w:rsid w:val="00003D46"/>
    <w:rsid w:val="00004211"/>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A3F"/>
    <w:rsid w:val="00013B0A"/>
    <w:rsid w:val="00014B26"/>
    <w:rsid w:val="00015C9E"/>
    <w:rsid w:val="00015D15"/>
    <w:rsid w:val="00015E2C"/>
    <w:rsid w:val="000169A7"/>
    <w:rsid w:val="00017410"/>
    <w:rsid w:val="00020645"/>
    <w:rsid w:val="00020818"/>
    <w:rsid w:val="000220A5"/>
    <w:rsid w:val="000224A5"/>
    <w:rsid w:val="00022C02"/>
    <w:rsid w:val="00023F1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8BF"/>
    <w:rsid w:val="00052A07"/>
    <w:rsid w:val="00052E99"/>
    <w:rsid w:val="000534E3"/>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EFD"/>
    <w:rsid w:val="000741B1"/>
    <w:rsid w:val="00074524"/>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444"/>
    <w:rsid w:val="00097BAC"/>
    <w:rsid w:val="00097D1B"/>
    <w:rsid w:val="000A0623"/>
    <w:rsid w:val="000A0639"/>
    <w:rsid w:val="000A1158"/>
    <w:rsid w:val="000A13BA"/>
    <w:rsid w:val="000A1B7B"/>
    <w:rsid w:val="000A22DF"/>
    <w:rsid w:val="000A38A5"/>
    <w:rsid w:val="000A3E56"/>
    <w:rsid w:val="000A4ECD"/>
    <w:rsid w:val="000A56F2"/>
    <w:rsid w:val="000A5C80"/>
    <w:rsid w:val="000A757B"/>
    <w:rsid w:val="000A759C"/>
    <w:rsid w:val="000A7B5F"/>
    <w:rsid w:val="000B076E"/>
    <w:rsid w:val="000B1AAD"/>
    <w:rsid w:val="000B1CCF"/>
    <w:rsid w:val="000B2040"/>
    <w:rsid w:val="000B2719"/>
    <w:rsid w:val="000B2E84"/>
    <w:rsid w:val="000B2E88"/>
    <w:rsid w:val="000B3690"/>
    <w:rsid w:val="000B38F9"/>
    <w:rsid w:val="000B3A8F"/>
    <w:rsid w:val="000B40AB"/>
    <w:rsid w:val="000B4102"/>
    <w:rsid w:val="000B44F0"/>
    <w:rsid w:val="000B4AB9"/>
    <w:rsid w:val="000B4B22"/>
    <w:rsid w:val="000B58C3"/>
    <w:rsid w:val="000B61E9"/>
    <w:rsid w:val="000B6951"/>
    <w:rsid w:val="000B6FC1"/>
    <w:rsid w:val="000B74E7"/>
    <w:rsid w:val="000C028A"/>
    <w:rsid w:val="000C0685"/>
    <w:rsid w:val="000C109F"/>
    <w:rsid w:val="000C11F2"/>
    <w:rsid w:val="000C165A"/>
    <w:rsid w:val="000C1B5A"/>
    <w:rsid w:val="000C1DA4"/>
    <w:rsid w:val="000C2099"/>
    <w:rsid w:val="000C2E19"/>
    <w:rsid w:val="000C360D"/>
    <w:rsid w:val="000C4051"/>
    <w:rsid w:val="000C49E1"/>
    <w:rsid w:val="000C5026"/>
    <w:rsid w:val="000C77D4"/>
    <w:rsid w:val="000D0137"/>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560C"/>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9C1"/>
    <w:rsid w:val="00165C84"/>
    <w:rsid w:val="001678C9"/>
    <w:rsid w:val="00167A19"/>
    <w:rsid w:val="00167E59"/>
    <w:rsid w:val="00167EF8"/>
    <w:rsid w:val="0017116F"/>
    <w:rsid w:val="00171C2A"/>
    <w:rsid w:val="0017266F"/>
    <w:rsid w:val="0017372B"/>
    <w:rsid w:val="00173A8E"/>
    <w:rsid w:val="001741EF"/>
    <w:rsid w:val="00174AB2"/>
    <w:rsid w:val="00174E5A"/>
    <w:rsid w:val="0017502C"/>
    <w:rsid w:val="00175858"/>
    <w:rsid w:val="00175E79"/>
    <w:rsid w:val="00175FFC"/>
    <w:rsid w:val="0017637B"/>
    <w:rsid w:val="00176659"/>
    <w:rsid w:val="00176BAA"/>
    <w:rsid w:val="00176BDE"/>
    <w:rsid w:val="001772B5"/>
    <w:rsid w:val="00177385"/>
    <w:rsid w:val="00177460"/>
    <w:rsid w:val="00177621"/>
    <w:rsid w:val="00177B67"/>
    <w:rsid w:val="001808FD"/>
    <w:rsid w:val="0018143F"/>
    <w:rsid w:val="00181FF8"/>
    <w:rsid w:val="001836AC"/>
    <w:rsid w:val="0018371D"/>
    <w:rsid w:val="001839CE"/>
    <w:rsid w:val="00183DA3"/>
    <w:rsid w:val="0018444D"/>
    <w:rsid w:val="001846D1"/>
    <w:rsid w:val="00184C8E"/>
    <w:rsid w:val="00184D9C"/>
    <w:rsid w:val="00185170"/>
    <w:rsid w:val="00185305"/>
    <w:rsid w:val="0018534E"/>
    <w:rsid w:val="00186046"/>
    <w:rsid w:val="001864BA"/>
    <w:rsid w:val="00186671"/>
    <w:rsid w:val="00186D78"/>
    <w:rsid w:val="00186F63"/>
    <w:rsid w:val="0018722A"/>
    <w:rsid w:val="001878E6"/>
    <w:rsid w:val="00187A1A"/>
    <w:rsid w:val="00187C3B"/>
    <w:rsid w:val="0019095F"/>
    <w:rsid w:val="00190AC1"/>
    <w:rsid w:val="00191843"/>
    <w:rsid w:val="00191D4F"/>
    <w:rsid w:val="00192F3B"/>
    <w:rsid w:val="001932ED"/>
    <w:rsid w:val="0019341A"/>
    <w:rsid w:val="001941FF"/>
    <w:rsid w:val="001942F0"/>
    <w:rsid w:val="00194872"/>
    <w:rsid w:val="00194972"/>
    <w:rsid w:val="00194C05"/>
    <w:rsid w:val="001951C3"/>
    <w:rsid w:val="0019548E"/>
    <w:rsid w:val="00195F4C"/>
    <w:rsid w:val="0019632E"/>
    <w:rsid w:val="0019719B"/>
    <w:rsid w:val="001972CC"/>
    <w:rsid w:val="001974E6"/>
    <w:rsid w:val="00197A64"/>
    <w:rsid w:val="00197DF9"/>
    <w:rsid w:val="001A1502"/>
    <w:rsid w:val="001A156C"/>
    <w:rsid w:val="001A1987"/>
    <w:rsid w:val="001A1ACE"/>
    <w:rsid w:val="001A1E7A"/>
    <w:rsid w:val="001A2564"/>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D2C"/>
    <w:rsid w:val="001C320C"/>
    <w:rsid w:val="001C32E3"/>
    <w:rsid w:val="001C3D2A"/>
    <w:rsid w:val="001C5771"/>
    <w:rsid w:val="001C5DE5"/>
    <w:rsid w:val="001C6312"/>
    <w:rsid w:val="001C662A"/>
    <w:rsid w:val="001D0AA9"/>
    <w:rsid w:val="001D109A"/>
    <w:rsid w:val="001D1A09"/>
    <w:rsid w:val="001D1EE0"/>
    <w:rsid w:val="001D24A2"/>
    <w:rsid w:val="001D2C2C"/>
    <w:rsid w:val="001D2DE0"/>
    <w:rsid w:val="001D3764"/>
    <w:rsid w:val="001D4A05"/>
    <w:rsid w:val="001D4A33"/>
    <w:rsid w:val="001D4A4B"/>
    <w:rsid w:val="001D51BA"/>
    <w:rsid w:val="001D53E7"/>
    <w:rsid w:val="001D5541"/>
    <w:rsid w:val="001D5D37"/>
    <w:rsid w:val="001D6342"/>
    <w:rsid w:val="001D6D53"/>
    <w:rsid w:val="001D7510"/>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A31"/>
    <w:rsid w:val="001F7B80"/>
    <w:rsid w:val="00200490"/>
    <w:rsid w:val="00201A14"/>
    <w:rsid w:val="00201B49"/>
    <w:rsid w:val="00201B88"/>
    <w:rsid w:val="00201F3A"/>
    <w:rsid w:val="0020341F"/>
    <w:rsid w:val="00203A71"/>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715"/>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5B7"/>
    <w:rsid w:val="00256AA0"/>
    <w:rsid w:val="00257543"/>
    <w:rsid w:val="002579FC"/>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726"/>
    <w:rsid w:val="002A4D65"/>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8B0"/>
    <w:rsid w:val="002D5359"/>
    <w:rsid w:val="002D54D6"/>
    <w:rsid w:val="002D5B37"/>
    <w:rsid w:val="002D5D40"/>
    <w:rsid w:val="002D5ECB"/>
    <w:rsid w:val="002D69C0"/>
    <w:rsid w:val="002D7504"/>
    <w:rsid w:val="002D7637"/>
    <w:rsid w:val="002E02D1"/>
    <w:rsid w:val="002E08C0"/>
    <w:rsid w:val="002E09B1"/>
    <w:rsid w:val="002E154B"/>
    <w:rsid w:val="002E17F2"/>
    <w:rsid w:val="002E29B8"/>
    <w:rsid w:val="002E2E52"/>
    <w:rsid w:val="002E2EE2"/>
    <w:rsid w:val="002E3058"/>
    <w:rsid w:val="002E5CB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6E5"/>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BC2"/>
    <w:rsid w:val="0030501F"/>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62B4"/>
    <w:rsid w:val="00316C84"/>
    <w:rsid w:val="00316D54"/>
    <w:rsid w:val="00317060"/>
    <w:rsid w:val="003173BE"/>
    <w:rsid w:val="00317CCA"/>
    <w:rsid w:val="003203ED"/>
    <w:rsid w:val="00320AEA"/>
    <w:rsid w:val="00320BDF"/>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4579"/>
    <w:rsid w:val="00334694"/>
    <w:rsid w:val="0033487B"/>
    <w:rsid w:val="00334C71"/>
    <w:rsid w:val="00334E60"/>
    <w:rsid w:val="00335858"/>
    <w:rsid w:val="00335AA9"/>
    <w:rsid w:val="00335D2C"/>
    <w:rsid w:val="00335F08"/>
    <w:rsid w:val="0033616C"/>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5041"/>
    <w:rsid w:val="0034561F"/>
    <w:rsid w:val="00345918"/>
    <w:rsid w:val="00345A0B"/>
    <w:rsid w:val="00345B44"/>
    <w:rsid w:val="00346DB5"/>
    <w:rsid w:val="003472F0"/>
    <w:rsid w:val="00347659"/>
    <w:rsid w:val="003477B1"/>
    <w:rsid w:val="00347DF0"/>
    <w:rsid w:val="00350147"/>
    <w:rsid w:val="0035055C"/>
    <w:rsid w:val="00351CEA"/>
    <w:rsid w:val="00352D15"/>
    <w:rsid w:val="00354CC0"/>
    <w:rsid w:val="003553B0"/>
    <w:rsid w:val="00355E34"/>
    <w:rsid w:val="00356876"/>
    <w:rsid w:val="00356C1E"/>
    <w:rsid w:val="00357380"/>
    <w:rsid w:val="00357ED5"/>
    <w:rsid w:val="00357FAB"/>
    <w:rsid w:val="003602D9"/>
    <w:rsid w:val="003604CE"/>
    <w:rsid w:val="0036050C"/>
    <w:rsid w:val="00360A3A"/>
    <w:rsid w:val="00360EEC"/>
    <w:rsid w:val="00361307"/>
    <w:rsid w:val="003626A4"/>
    <w:rsid w:val="003631AA"/>
    <w:rsid w:val="00363EBD"/>
    <w:rsid w:val="00364440"/>
    <w:rsid w:val="003647A5"/>
    <w:rsid w:val="00364FB1"/>
    <w:rsid w:val="003653DC"/>
    <w:rsid w:val="00366999"/>
    <w:rsid w:val="00366CDE"/>
    <w:rsid w:val="0036788A"/>
    <w:rsid w:val="00367A6B"/>
    <w:rsid w:val="00370023"/>
    <w:rsid w:val="003700FF"/>
    <w:rsid w:val="00370964"/>
    <w:rsid w:val="00370A54"/>
    <w:rsid w:val="00370B04"/>
    <w:rsid w:val="00370E47"/>
    <w:rsid w:val="00371AE7"/>
    <w:rsid w:val="0037246B"/>
    <w:rsid w:val="00372823"/>
    <w:rsid w:val="00373191"/>
    <w:rsid w:val="00373A67"/>
    <w:rsid w:val="003741C4"/>
    <w:rsid w:val="003742AC"/>
    <w:rsid w:val="003759C5"/>
    <w:rsid w:val="003763A3"/>
    <w:rsid w:val="00376519"/>
    <w:rsid w:val="00376657"/>
    <w:rsid w:val="003778F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A02CF"/>
    <w:rsid w:val="003A061F"/>
    <w:rsid w:val="003A16F8"/>
    <w:rsid w:val="003A20EE"/>
    <w:rsid w:val="003A2223"/>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5C3D"/>
    <w:rsid w:val="003B60BA"/>
    <w:rsid w:val="003B64BB"/>
    <w:rsid w:val="003B6AD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439"/>
    <w:rsid w:val="003C3D55"/>
    <w:rsid w:val="003C4539"/>
    <w:rsid w:val="003C462F"/>
    <w:rsid w:val="003C4724"/>
    <w:rsid w:val="003C5ECD"/>
    <w:rsid w:val="003C63BC"/>
    <w:rsid w:val="003C63E3"/>
    <w:rsid w:val="003C662B"/>
    <w:rsid w:val="003C6FCE"/>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2E93"/>
    <w:rsid w:val="003E374F"/>
    <w:rsid w:val="003E3A0C"/>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E8"/>
    <w:rsid w:val="004002C2"/>
    <w:rsid w:val="004003FB"/>
    <w:rsid w:val="00400C8D"/>
    <w:rsid w:val="004013F0"/>
    <w:rsid w:val="004015C8"/>
    <w:rsid w:val="00402132"/>
    <w:rsid w:val="00402434"/>
    <w:rsid w:val="004029BC"/>
    <w:rsid w:val="00402E2B"/>
    <w:rsid w:val="004030D3"/>
    <w:rsid w:val="00404F9F"/>
    <w:rsid w:val="00405030"/>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F4"/>
    <w:rsid w:val="00426784"/>
    <w:rsid w:val="00426BAD"/>
    <w:rsid w:val="00426FC9"/>
    <w:rsid w:val="00427248"/>
    <w:rsid w:val="004301B2"/>
    <w:rsid w:val="004301F5"/>
    <w:rsid w:val="004306FD"/>
    <w:rsid w:val="00430E9C"/>
    <w:rsid w:val="00433108"/>
    <w:rsid w:val="00433312"/>
    <w:rsid w:val="00433585"/>
    <w:rsid w:val="0043386A"/>
    <w:rsid w:val="00433F10"/>
    <w:rsid w:val="004342F0"/>
    <w:rsid w:val="00434492"/>
    <w:rsid w:val="004345F9"/>
    <w:rsid w:val="00435109"/>
    <w:rsid w:val="00435302"/>
    <w:rsid w:val="00435B86"/>
    <w:rsid w:val="004364F1"/>
    <w:rsid w:val="004371CF"/>
    <w:rsid w:val="00437447"/>
    <w:rsid w:val="00437772"/>
    <w:rsid w:val="00437D3E"/>
    <w:rsid w:val="00440597"/>
    <w:rsid w:val="00440E23"/>
    <w:rsid w:val="004414F8"/>
    <w:rsid w:val="004416E8"/>
    <w:rsid w:val="00441A92"/>
    <w:rsid w:val="00442596"/>
    <w:rsid w:val="00442D30"/>
    <w:rsid w:val="004431DC"/>
    <w:rsid w:val="0044384B"/>
    <w:rsid w:val="00444119"/>
    <w:rsid w:val="00444970"/>
    <w:rsid w:val="00444B78"/>
    <w:rsid w:val="00444F56"/>
    <w:rsid w:val="004450D9"/>
    <w:rsid w:val="0044548A"/>
    <w:rsid w:val="0044556C"/>
    <w:rsid w:val="00445FAF"/>
    <w:rsid w:val="00446488"/>
    <w:rsid w:val="004471C2"/>
    <w:rsid w:val="00447386"/>
    <w:rsid w:val="004506F6"/>
    <w:rsid w:val="0045096B"/>
    <w:rsid w:val="004517AA"/>
    <w:rsid w:val="00451C62"/>
    <w:rsid w:val="004521DD"/>
    <w:rsid w:val="00452C19"/>
    <w:rsid w:val="00452CAC"/>
    <w:rsid w:val="00454E1C"/>
    <w:rsid w:val="00455085"/>
    <w:rsid w:val="0045596E"/>
    <w:rsid w:val="0045616A"/>
    <w:rsid w:val="004561F8"/>
    <w:rsid w:val="004562DD"/>
    <w:rsid w:val="004564ED"/>
    <w:rsid w:val="00456D52"/>
    <w:rsid w:val="00457565"/>
    <w:rsid w:val="00457640"/>
    <w:rsid w:val="00457B6E"/>
    <w:rsid w:val="00457B71"/>
    <w:rsid w:val="00460918"/>
    <w:rsid w:val="00461274"/>
    <w:rsid w:val="00461D81"/>
    <w:rsid w:val="00462FC6"/>
    <w:rsid w:val="0046334C"/>
    <w:rsid w:val="00464479"/>
    <w:rsid w:val="004646DD"/>
    <w:rsid w:val="00464EC4"/>
    <w:rsid w:val="004658C2"/>
    <w:rsid w:val="00465DC8"/>
    <w:rsid w:val="004669E2"/>
    <w:rsid w:val="00467CEB"/>
    <w:rsid w:val="00470B73"/>
    <w:rsid w:val="00470BC6"/>
    <w:rsid w:val="00470C31"/>
    <w:rsid w:val="00471C73"/>
    <w:rsid w:val="00471DE0"/>
    <w:rsid w:val="004720C4"/>
    <w:rsid w:val="00472251"/>
    <w:rsid w:val="004728E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E6C"/>
    <w:rsid w:val="004C7AC5"/>
    <w:rsid w:val="004D052A"/>
    <w:rsid w:val="004D0D16"/>
    <w:rsid w:val="004D112F"/>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3542"/>
    <w:rsid w:val="005035AD"/>
    <w:rsid w:val="00503A63"/>
    <w:rsid w:val="00503D4C"/>
    <w:rsid w:val="005043B9"/>
    <w:rsid w:val="00504D08"/>
    <w:rsid w:val="00504EE2"/>
    <w:rsid w:val="00504F08"/>
    <w:rsid w:val="0050514B"/>
    <w:rsid w:val="00505A65"/>
    <w:rsid w:val="00506557"/>
    <w:rsid w:val="0050677A"/>
    <w:rsid w:val="0050693A"/>
    <w:rsid w:val="005071BE"/>
    <w:rsid w:val="00507B35"/>
    <w:rsid w:val="00507F85"/>
    <w:rsid w:val="00510775"/>
    <w:rsid w:val="005108D8"/>
    <w:rsid w:val="00510982"/>
    <w:rsid w:val="00511139"/>
    <w:rsid w:val="005116F9"/>
    <w:rsid w:val="00511B38"/>
    <w:rsid w:val="0051222F"/>
    <w:rsid w:val="005123AC"/>
    <w:rsid w:val="00512AE6"/>
    <w:rsid w:val="00512B7B"/>
    <w:rsid w:val="00513146"/>
    <w:rsid w:val="00513395"/>
    <w:rsid w:val="005138DA"/>
    <w:rsid w:val="00513C5B"/>
    <w:rsid w:val="00514890"/>
    <w:rsid w:val="00514923"/>
    <w:rsid w:val="005153A7"/>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9CF"/>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7BC"/>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A2"/>
    <w:rsid w:val="00554E19"/>
    <w:rsid w:val="005554AE"/>
    <w:rsid w:val="00555ACC"/>
    <w:rsid w:val="005565AA"/>
    <w:rsid w:val="0055679E"/>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5660"/>
    <w:rsid w:val="00567146"/>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6B37"/>
    <w:rsid w:val="00587128"/>
    <w:rsid w:val="0058798C"/>
    <w:rsid w:val="005900FA"/>
    <w:rsid w:val="00590A5F"/>
    <w:rsid w:val="005923AF"/>
    <w:rsid w:val="00592492"/>
    <w:rsid w:val="00592E78"/>
    <w:rsid w:val="0059311A"/>
    <w:rsid w:val="005935A4"/>
    <w:rsid w:val="00593BB1"/>
    <w:rsid w:val="00594805"/>
    <w:rsid w:val="005948C2"/>
    <w:rsid w:val="00595DCA"/>
    <w:rsid w:val="005971C6"/>
    <w:rsid w:val="0059779B"/>
    <w:rsid w:val="00597EFB"/>
    <w:rsid w:val="005A045B"/>
    <w:rsid w:val="005A0AC7"/>
    <w:rsid w:val="005A0B81"/>
    <w:rsid w:val="005A16AB"/>
    <w:rsid w:val="005A181F"/>
    <w:rsid w:val="005A1CE1"/>
    <w:rsid w:val="005A209A"/>
    <w:rsid w:val="005A2540"/>
    <w:rsid w:val="005A2E93"/>
    <w:rsid w:val="005A42BD"/>
    <w:rsid w:val="005A4B31"/>
    <w:rsid w:val="005A5137"/>
    <w:rsid w:val="005A5B01"/>
    <w:rsid w:val="005A5B60"/>
    <w:rsid w:val="005A662D"/>
    <w:rsid w:val="005A6657"/>
    <w:rsid w:val="005A6665"/>
    <w:rsid w:val="005A6CFC"/>
    <w:rsid w:val="005A71DF"/>
    <w:rsid w:val="005A73C8"/>
    <w:rsid w:val="005A778D"/>
    <w:rsid w:val="005B0432"/>
    <w:rsid w:val="005B08D7"/>
    <w:rsid w:val="005B0BD8"/>
    <w:rsid w:val="005B0EB6"/>
    <w:rsid w:val="005B1409"/>
    <w:rsid w:val="005B16F5"/>
    <w:rsid w:val="005B1963"/>
    <w:rsid w:val="005B20C5"/>
    <w:rsid w:val="005B265A"/>
    <w:rsid w:val="005B35D7"/>
    <w:rsid w:val="005B392A"/>
    <w:rsid w:val="005B3AA3"/>
    <w:rsid w:val="005B4082"/>
    <w:rsid w:val="005B4FC9"/>
    <w:rsid w:val="005B5022"/>
    <w:rsid w:val="005B573B"/>
    <w:rsid w:val="005B5B3E"/>
    <w:rsid w:val="005B61FD"/>
    <w:rsid w:val="005B637D"/>
    <w:rsid w:val="005B63E5"/>
    <w:rsid w:val="005B650E"/>
    <w:rsid w:val="005B6F83"/>
    <w:rsid w:val="005B7363"/>
    <w:rsid w:val="005B76B2"/>
    <w:rsid w:val="005C0266"/>
    <w:rsid w:val="005C02B3"/>
    <w:rsid w:val="005C0661"/>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3CAD"/>
    <w:rsid w:val="005D45BD"/>
    <w:rsid w:val="005D4E07"/>
    <w:rsid w:val="005D4F73"/>
    <w:rsid w:val="005D4F8B"/>
    <w:rsid w:val="005D5295"/>
    <w:rsid w:val="005D5559"/>
    <w:rsid w:val="005D5828"/>
    <w:rsid w:val="005D687C"/>
    <w:rsid w:val="005D7753"/>
    <w:rsid w:val="005D7AF9"/>
    <w:rsid w:val="005D7B2E"/>
    <w:rsid w:val="005E0095"/>
    <w:rsid w:val="005E0AA6"/>
    <w:rsid w:val="005E0B85"/>
    <w:rsid w:val="005E1CF4"/>
    <w:rsid w:val="005E216E"/>
    <w:rsid w:val="005E2654"/>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6007D9"/>
    <w:rsid w:val="00600A50"/>
    <w:rsid w:val="00600C1C"/>
    <w:rsid w:val="00601040"/>
    <w:rsid w:val="00601E7C"/>
    <w:rsid w:val="0060283C"/>
    <w:rsid w:val="00602AA6"/>
    <w:rsid w:val="00602F9F"/>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93"/>
    <w:rsid w:val="00626674"/>
    <w:rsid w:val="00626A07"/>
    <w:rsid w:val="006272E7"/>
    <w:rsid w:val="00627617"/>
    <w:rsid w:val="00627649"/>
    <w:rsid w:val="0062791E"/>
    <w:rsid w:val="00630001"/>
    <w:rsid w:val="006301A8"/>
    <w:rsid w:val="0063038E"/>
    <w:rsid w:val="00630909"/>
    <w:rsid w:val="0063097D"/>
    <w:rsid w:val="00630CF0"/>
    <w:rsid w:val="006311B3"/>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72F9"/>
    <w:rsid w:val="006377EC"/>
    <w:rsid w:val="0063796D"/>
    <w:rsid w:val="006407C0"/>
    <w:rsid w:val="0064118F"/>
    <w:rsid w:val="0064151F"/>
    <w:rsid w:val="00641533"/>
    <w:rsid w:val="00641D95"/>
    <w:rsid w:val="0064208D"/>
    <w:rsid w:val="006421A3"/>
    <w:rsid w:val="006423D2"/>
    <w:rsid w:val="00642B35"/>
    <w:rsid w:val="00643475"/>
    <w:rsid w:val="0064396A"/>
    <w:rsid w:val="00643C7B"/>
    <w:rsid w:val="00644C5E"/>
    <w:rsid w:val="00645DC9"/>
    <w:rsid w:val="0064624E"/>
    <w:rsid w:val="00646A3F"/>
    <w:rsid w:val="00646BE3"/>
    <w:rsid w:val="00647518"/>
    <w:rsid w:val="00647A68"/>
    <w:rsid w:val="00650127"/>
    <w:rsid w:val="00650AB9"/>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623A"/>
    <w:rsid w:val="0065647A"/>
    <w:rsid w:val="00656A92"/>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B83"/>
    <w:rsid w:val="00680FA8"/>
    <w:rsid w:val="00681003"/>
    <w:rsid w:val="0068120A"/>
    <w:rsid w:val="006817C9"/>
    <w:rsid w:val="006828B3"/>
    <w:rsid w:val="00682A80"/>
    <w:rsid w:val="0068398F"/>
    <w:rsid w:val="00683ECE"/>
    <w:rsid w:val="006846A3"/>
    <w:rsid w:val="00684D22"/>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368"/>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139"/>
    <w:rsid w:val="006A36C6"/>
    <w:rsid w:val="006A4035"/>
    <w:rsid w:val="006A44DE"/>
    <w:rsid w:val="006A46FB"/>
    <w:rsid w:val="006A4CA9"/>
    <w:rsid w:val="006A5319"/>
    <w:rsid w:val="006A531B"/>
    <w:rsid w:val="006A531D"/>
    <w:rsid w:val="006A5533"/>
    <w:rsid w:val="006A589E"/>
    <w:rsid w:val="006A5907"/>
    <w:rsid w:val="006A5E28"/>
    <w:rsid w:val="006A697B"/>
    <w:rsid w:val="006A73FC"/>
    <w:rsid w:val="006A77A4"/>
    <w:rsid w:val="006A7AFF"/>
    <w:rsid w:val="006A7B47"/>
    <w:rsid w:val="006B029A"/>
    <w:rsid w:val="006B054B"/>
    <w:rsid w:val="006B1332"/>
    <w:rsid w:val="006B1564"/>
    <w:rsid w:val="006B1816"/>
    <w:rsid w:val="006B2099"/>
    <w:rsid w:val="006B21ED"/>
    <w:rsid w:val="006B27A6"/>
    <w:rsid w:val="006B28CC"/>
    <w:rsid w:val="006B2F2D"/>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846"/>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D00EC"/>
    <w:rsid w:val="006D0CAE"/>
    <w:rsid w:val="006D10D9"/>
    <w:rsid w:val="006D129F"/>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3310"/>
    <w:rsid w:val="006E42C3"/>
    <w:rsid w:val="006E45CA"/>
    <w:rsid w:val="006E4E39"/>
    <w:rsid w:val="006E506E"/>
    <w:rsid w:val="006E543A"/>
    <w:rsid w:val="006E565E"/>
    <w:rsid w:val="006E587C"/>
    <w:rsid w:val="006E5B49"/>
    <w:rsid w:val="006E60BD"/>
    <w:rsid w:val="006E6305"/>
    <w:rsid w:val="006E660E"/>
    <w:rsid w:val="006E673D"/>
    <w:rsid w:val="006E6B6B"/>
    <w:rsid w:val="006E76B9"/>
    <w:rsid w:val="006E7702"/>
    <w:rsid w:val="006E7D3B"/>
    <w:rsid w:val="006E7E58"/>
    <w:rsid w:val="006E7EDE"/>
    <w:rsid w:val="006F0699"/>
    <w:rsid w:val="006F1B70"/>
    <w:rsid w:val="006F1F5D"/>
    <w:rsid w:val="006F28A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66D"/>
    <w:rsid w:val="00707D61"/>
    <w:rsid w:val="00711447"/>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9"/>
    <w:rsid w:val="00715B9A"/>
    <w:rsid w:val="00715F36"/>
    <w:rsid w:val="00715FBF"/>
    <w:rsid w:val="007167BC"/>
    <w:rsid w:val="007175A7"/>
    <w:rsid w:val="007176B2"/>
    <w:rsid w:val="007178AB"/>
    <w:rsid w:val="007204EC"/>
    <w:rsid w:val="007205CA"/>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E90"/>
    <w:rsid w:val="00761F64"/>
    <w:rsid w:val="00762550"/>
    <w:rsid w:val="00763257"/>
    <w:rsid w:val="00763959"/>
    <w:rsid w:val="00763F82"/>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41B1"/>
    <w:rsid w:val="007755F2"/>
    <w:rsid w:val="00776971"/>
    <w:rsid w:val="00777608"/>
    <w:rsid w:val="00777D68"/>
    <w:rsid w:val="007800D8"/>
    <w:rsid w:val="00780A80"/>
    <w:rsid w:val="00780CD8"/>
    <w:rsid w:val="00780F03"/>
    <w:rsid w:val="0078177E"/>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F1E"/>
    <w:rsid w:val="007A0D42"/>
    <w:rsid w:val="007A19F7"/>
    <w:rsid w:val="007A1CB3"/>
    <w:rsid w:val="007A1D79"/>
    <w:rsid w:val="007A2975"/>
    <w:rsid w:val="007A306F"/>
    <w:rsid w:val="007A4162"/>
    <w:rsid w:val="007A43A6"/>
    <w:rsid w:val="007A4567"/>
    <w:rsid w:val="007A49CE"/>
    <w:rsid w:val="007A50AA"/>
    <w:rsid w:val="007A5806"/>
    <w:rsid w:val="007A582A"/>
    <w:rsid w:val="007A58A6"/>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C2B"/>
    <w:rsid w:val="007B6BB5"/>
    <w:rsid w:val="007C004E"/>
    <w:rsid w:val="007C05DD"/>
    <w:rsid w:val="007C08AA"/>
    <w:rsid w:val="007C0A9A"/>
    <w:rsid w:val="007C1239"/>
    <w:rsid w:val="007C19E2"/>
    <w:rsid w:val="007C2662"/>
    <w:rsid w:val="007C28AA"/>
    <w:rsid w:val="007C3D18"/>
    <w:rsid w:val="007C42B5"/>
    <w:rsid w:val="007C4357"/>
    <w:rsid w:val="007C4F07"/>
    <w:rsid w:val="007C60BF"/>
    <w:rsid w:val="007C6A07"/>
    <w:rsid w:val="007C6C5B"/>
    <w:rsid w:val="007C75A1"/>
    <w:rsid w:val="007C77A5"/>
    <w:rsid w:val="007C7A83"/>
    <w:rsid w:val="007D04E5"/>
    <w:rsid w:val="007D07ED"/>
    <w:rsid w:val="007D0813"/>
    <w:rsid w:val="007D1A06"/>
    <w:rsid w:val="007D21B5"/>
    <w:rsid w:val="007D21B7"/>
    <w:rsid w:val="007D2792"/>
    <w:rsid w:val="007D28B1"/>
    <w:rsid w:val="007D2959"/>
    <w:rsid w:val="007D2AF9"/>
    <w:rsid w:val="007D467F"/>
    <w:rsid w:val="007D522D"/>
    <w:rsid w:val="007D5901"/>
    <w:rsid w:val="007D5973"/>
    <w:rsid w:val="007D645C"/>
    <w:rsid w:val="007D6FEF"/>
    <w:rsid w:val="007D7526"/>
    <w:rsid w:val="007D76B4"/>
    <w:rsid w:val="007D7F5E"/>
    <w:rsid w:val="007E093F"/>
    <w:rsid w:val="007E0E7E"/>
    <w:rsid w:val="007E0F81"/>
    <w:rsid w:val="007E1775"/>
    <w:rsid w:val="007E1ECD"/>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E9A"/>
    <w:rsid w:val="007F5092"/>
    <w:rsid w:val="007F5A9E"/>
    <w:rsid w:val="007F61B2"/>
    <w:rsid w:val="007F61F6"/>
    <w:rsid w:val="007F6DAE"/>
    <w:rsid w:val="007F77AD"/>
    <w:rsid w:val="007F7819"/>
    <w:rsid w:val="007F7FE8"/>
    <w:rsid w:val="00801785"/>
    <w:rsid w:val="0080182B"/>
    <w:rsid w:val="008018FD"/>
    <w:rsid w:val="008028B0"/>
    <w:rsid w:val="0080301E"/>
    <w:rsid w:val="0080308F"/>
    <w:rsid w:val="0080358F"/>
    <w:rsid w:val="00803A25"/>
    <w:rsid w:val="00803D08"/>
    <w:rsid w:val="00803FAE"/>
    <w:rsid w:val="0080486E"/>
    <w:rsid w:val="00804A15"/>
    <w:rsid w:val="0080560F"/>
    <w:rsid w:val="008057FA"/>
    <w:rsid w:val="00805B29"/>
    <w:rsid w:val="0080605F"/>
    <w:rsid w:val="00806683"/>
    <w:rsid w:val="00806988"/>
    <w:rsid w:val="00806F3F"/>
    <w:rsid w:val="00807408"/>
    <w:rsid w:val="0080763A"/>
    <w:rsid w:val="00807786"/>
    <w:rsid w:val="0080796D"/>
    <w:rsid w:val="00807D3A"/>
    <w:rsid w:val="008102E9"/>
    <w:rsid w:val="008109A3"/>
    <w:rsid w:val="0081158E"/>
    <w:rsid w:val="00811FCB"/>
    <w:rsid w:val="00812D79"/>
    <w:rsid w:val="00812EEA"/>
    <w:rsid w:val="008133FF"/>
    <w:rsid w:val="00813882"/>
    <w:rsid w:val="00813941"/>
    <w:rsid w:val="00814356"/>
    <w:rsid w:val="00814EE9"/>
    <w:rsid w:val="008158D6"/>
    <w:rsid w:val="00815E17"/>
    <w:rsid w:val="008165FD"/>
    <w:rsid w:val="00816698"/>
    <w:rsid w:val="00817196"/>
    <w:rsid w:val="008206AD"/>
    <w:rsid w:val="0082072E"/>
    <w:rsid w:val="008216C8"/>
    <w:rsid w:val="00821B53"/>
    <w:rsid w:val="00821C9D"/>
    <w:rsid w:val="00822C3A"/>
    <w:rsid w:val="00822D63"/>
    <w:rsid w:val="00822DE8"/>
    <w:rsid w:val="008235DB"/>
    <w:rsid w:val="008237AF"/>
    <w:rsid w:val="00823D8E"/>
    <w:rsid w:val="0082409C"/>
    <w:rsid w:val="008245B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6A1"/>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6135"/>
    <w:rsid w:val="00846797"/>
    <w:rsid w:val="00846B1F"/>
    <w:rsid w:val="00846FE7"/>
    <w:rsid w:val="0084741F"/>
    <w:rsid w:val="00847FE6"/>
    <w:rsid w:val="00850812"/>
    <w:rsid w:val="0085131F"/>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E8"/>
    <w:rsid w:val="00857496"/>
    <w:rsid w:val="00860088"/>
    <w:rsid w:val="0086058E"/>
    <w:rsid w:val="00860CFB"/>
    <w:rsid w:val="00861133"/>
    <w:rsid w:val="00861793"/>
    <w:rsid w:val="00862F04"/>
    <w:rsid w:val="00863ED7"/>
    <w:rsid w:val="00864184"/>
    <w:rsid w:val="00864C87"/>
    <w:rsid w:val="00865506"/>
    <w:rsid w:val="0086566D"/>
    <w:rsid w:val="00866FD6"/>
    <w:rsid w:val="008677FD"/>
    <w:rsid w:val="008703CA"/>
    <w:rsid w:val="008706D4"/>
    <w:rsid w:val="00870F8A"/>
    <w:rsid w:val="0087120F"/>
    <w:rsid w:val="008719A4"/>
    <w:rsid w:val="00871A06"/>
    <w:rsid w:val="00871D23"/>
    <w:rsid w:val="00871D77"/>
    <w:rsid w:val="00872440"/>
    <w:rsid w:val="008726A6"/>
    <w:rsid w:val="008738F2"/>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249"/>
    <w:rsid w:val="008762AB"/>
    <w:rsid w:val="00876B4D"/>
    <w:rsid w:val="00876C50"/>
    <w:rsid w:val="00876F88"/>
    <w:rsid w:val="00877252"/>
    <w:rsid w:val="008772D3"/>
    <w:rsid w:val="0087771F"/>
    <w:rsid w:val="00877F18"/>
    <w:rsid w:val="00881A2A"/>
    <w:rsid w:val="00881C35"/>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8DB"/>
    <w:rsid w:val="008A0C27"/>
    <w:rsid w:val="008A0FCF"/>
    <w:rsid w:val="008A20C5"/>
    <w:rsid w:val="008A21FF"/>
    <w:rsid w:val="008A2669"/>
    <w:rsid w:val="008A26CD"/>
    <w:rsid w:val="008A2ABD"/>
    <w:rsid w:val="008A2CE2"/>
    <w:rsid w:val="008A30AC"/>
    <w:rsid w:val="008A44B8"/>
    <w:rsid w:val="008A4527"/>
    <w:rsid w:val="008A4636"/>
    <w:rsid w:val="008A48F5"/>
    <w:rsid w:val="008A51A8"/>
    <w:rsid w:val="008A520B"/>
    <w:rsid w:val="008A52E7"/>
    <w:rsid w:val="008A54C7"/>
    <w:rsid w:val="008A5AAD"/>
    <w:rsid w:val="008A65A4"/>
    <w:rsid w:val="008A77D8"/>
    <w:rsid w:val="008A7E1B"/>
    <w:rsid w:val="008B0483"/>
    <w:rsid w:val="008B0811"/>
    <w:rsid w:val="008B0A97"/>
    <w:rsid w:val="008B0F3D"/>
    <w:rsid w:val="008B120C"/>
    <w:rsid w:val="008B14DF"/>
    <w:rsid w:val="008B1976"/>
    <w:rsid w:val="008B31DC"/>
    <w:rsid w:val="008B32BE"/>
    <w:rsid w:val="008B4222"/>
    <w:rsid w:val="008B4F38"/>
    <w:rsid w:val="008B51A0"/>
    <w:rsid w:val="008B592A"/>
    <w:rsid w:val="008B5FD9"/>
    <w:rsid w:val="008B60CE"/>
    <w:rsid w:val="008B6CCD"/>
    <w:rsid w:val="008B73A4"/>
    <w:rsid w:val="008B7A7C"/>
    <w:rsid w:val="008B7B5C"/>
    <w:rsid w:val="008B7F34"/>
    <w:rsid w:val="008C05D9"/>
    <w:rsid w:val="008C08C3"/>
    <w:rsid w:val="008C08C8"/>
    <w:rsid w:val="008C0910"/>
    <w:rsid w:val="008C09EC"/>
    <w:rsid w:val="008C0C99"/>
    <w:rsid w:val="008C12DE"/>
    <w:rsid w:val="008C1B29"/>
    <w:rsid w:val="008C1DD2"/>
    <w:rsid w:val="008C2017"/>
    <w:rsid w:val="008C20EB"/>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85D"/>
    <w:rsid w:val="008D1DE4"/>
    <w:rsid w:val="008D1EDB"/>
    <w:rsid w:val="008D208A"/>
    <w:rsid w:val="008D20DA"/>
    <w:rsid w:val="008D2948"/>
    <w:rsid w:val="008D2C19"/>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B5F"/>
    <w:rsid w:val="008E4CCC"/>
    <w:rsid w:val="008E5033"/>
    <w:rsid w:val="008E5538"/>
    <w:rsid w:val="008E5DAE"/>
    <w:rsid w:val="008E67A8"/>
    <w:rsid w:val="008E6FDE"/>
    <w:rsid w:val="008E71BE"/>
    <w:rsid w:val="008E7539"/>
    <w:rsid w:val="008E7FCC"/>
    <w:rsid w:val="008F0B40"/>
    <w:rsid w:val="008F0EFF"/>
    <w:rsid w:val="008F1AC3"/>
    <w:rsid w:val="008F1C4E"/>
    <w:rsid w:val="008F1EAB"/>
    <w:rsid w:val="008F280C"/>
    <w:rsid w:val="008F28FD"/>
    <w:rsid w:val="008F33DC"/>
    <w:rsid w:val="008F477F"/>
    <w:rsid w:val="008F503F"/>
    <w:rsid w:val="008F58DE"/>
    <w:rsid w:val="008F6493"/>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53AA"/>
    <w:rsid w:val="00905404"/>
    <w:rsid w:val="0090543F"/>
    <w:rsid w:val="00906939"/>
    <w:rsid w:val="00906A05"/>
    <w:rsid w:val="009076C8"/>
    <w:rsid w:val="00907886"/>
    <w:rsid w:val="00907C54"/>
    <w:rsid w:val="00910556"/>
    <w:rsid w:val="009105EA"/>
    <w:rsid w:val="009107F9"/>
    <w:rsid w:val="00910B7D"/>
    <w:rsid w:val="00910F96"/>
    <w:rsid w:val="00910FD6"/>
    <w:rsid w:val="0091105E"/>
    <w:rsid w:val="00911828"/>
    <w:rsid w:val="0091187F"/>
    <w:rsid w:val="00911DFB"/>
    <w:rsid w:val="0091236A"/>
    <w:rsid w:val="00912CF6"/>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1573"/>
    <w:rsid w:val="009219EA"/>
    <w:rsid w:val="00922010"/>
    <w:rsid w:val="00922238"/>
    <w:rsid w:val="00922787"/>
    <w:rsid w:val="009227CC"/>
    <w:rsid w:val="0092372D"/>
    <w:rsid w:val="0092381D"/>
    <w:rsid w:val="0092528E"/>
    <w:rsid w:val="00925FA5"/>
    <w:rsid w:val="009264F1"/>
    <w:rsid w:val="00926647"/>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636"/>
    <w:rsid w:val="00941A16"/>
    <w:rsid w:val="00941E9E"/>
    <w:rsid w:val="00942C88"/>
    <w:rsid w:val="00942F61"/>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72D4"/>
    <w:rsid w:val="00957810"/>
    <w:rsid w:val="00960178"/>
    <w:rsid w:val="009602A2"/>
    <w:rsid w:val="00960B11"/>
    <w:rsid w:val="00960B6A"/>
    <w:rsid w:val="00961921"/>
    <w:rsid w:val="00961A62"/>
    <w:rsid w:val="00961BA0"/>
    <w:rsid w:val="00962237"/>
    <w:rsid w:val="00962352"/>
    <w:rsid w:val="009628A2"/>
    <w:rsid w:val="0096371D"/>
    <w:rsid w:val="00963B77"/>
    <w:rsid w:val="0096430A"/>
    <w:rsid w:val="0096463B"/>
    <w:rsid w:val="00964836"/>
    <w:rsid w:val="009652D3"/>
    <w:rsid w:val="0096554B"/>
    <w:rsid w:val="0096584A"/>
    <w:rsid w:val="009661F6"/>
    <w:rsid w:val="009667CC"/>
    <w:rsid w:val="009668D6"/>
    <w:rsid w:val="009675AE"/>
    <w:rsid w:val="00967AA5"/>
    <w:rsid w:val="0097101E"/>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1761"/>
    <w:rsid w:val="00993603"/>
    <w:rsid w:val="00993818"/>
    <w:rsid w:val="00993CE7"/>
    <w:rsid w:val="00993FCD"/>
    <w:rsid w:val="00993FD2"/>
    <w:rsid w:val="009940BF"/>
    <w:rsid w:val="00994DCA"/>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512"/>
    <w:rsid w:val="009B1F30"/>
    <w:rsid w:val="009B221E"/>
    <w:rsid w:val="009B2554"/>
    <w:rsid w:val="009B2886"/>
    <w:rsid w:val="009B2A8A"/>
    <w:rsid w:val="009B2D70"/>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2925"/>
    <w:rsid w:val="009C3511"/>
    <w:rsid w:val="009C385E"/>
    <w:rsid w:val="009C3CF6"/>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108C"/>
    <w:rsid w:val="009E10EB"/>
    <w:rsid w:val="009E119C"/>
    <w:rsid w:val="009E1433"/>
    <w:rsid w:val="009E14E0"/>
    <w:rsid w:val="009E1A75"/>
    <w:rsid w:val="009E1F3C"/>
    <w:rsid w:val="009E21B0"/>
    <w:rsid w:val="009E35DB"/>
    <w:rsid w:val="009E3886"/>
    <w:rsid w:val="009E3EBC"/>
    <w:rsid w:val="009E4575"/>
    <w:rsid w:val="009E47A3"/>
    <w:rsid w:val="009E4ACB"/>
    <w:rsid w:val="009E503E"/>
    <w:rsid w:val="009E5A30"/>
    <w:rsid w:val="009E5EA9"/>
    <w:rsid w:val="009E667A"/>
    <w:rsid w:val="009E6E53"/>
    <w:rsid w:val="009E7C0D"/>
    <w:rsid w:val="009F08F3"/>
    <w:rsid w:val="009F19D5"/>
    <w:rsid w:val="009F1ABA"/>
    <w:rsid w:val="009F26DE"/>
    <w:rsid w:val="009F2C97"/>
    <w:rsid w:val="009F2F8E"/>
    <w:rsid w:val="009F31B4"/>
    <w:rsid w:val="009F344F"/>
    <w:rsid w:val="009F4F07"/>
    <w:rsid w:val="009F5182"/>
    <w:rsid w:val="009F53C2"/>
    <w:rsid w:val="00A000EB"/>
    <w:rsid w:val="00A000ED"/>
    <w:rsid w:val="00A00244"/>
    <w:rsid w:val="00A00CD9"/>
    <w:rsid w:val="00A01211"/>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1528"/>
    <w:rsid w:val="00A2193B"/>
    <w:rsid w:val="00A223DC"/>
    <w:rsid w:val="00A225CE"/>
    <w:rsid w:val="00A228E5"/>
    <w:rsid w:val="00A22E46"/>
    <w:rsid w:val="00A2351A"/>
    <w:rsid w:val="00A23627"/>
    <w:rsid w:val="00A23DEB"/>
    <w:rsid w:val="00A245A7"/>
    <w:rsid w:val="00A258E9"/>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9AF"/>
    <w:rsid w:val="00A33E01"/>
    <w:rsid w:val="00A3418A"/>
    <w:rsid w:val="00A3448A"/>
    <w:rsid w:val="00A3449F"/>
    <w:rsid w:val="00A348CE"/>
    <w:rsid w:val="00A36297"/>
    <w:rsid w:val="00A36677"/>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987"/>
    <w:rsid w:val="00A44C7E"/>
    <w:rsid w:val="00A454BB"/>
    <w:rsid w:val="00A4561C"/>
    <w:rsid w:val="00A45653"/>
    <w:rsid w:val="00A45B74"/>
    <w:rsid w:val="00A45CE9"/>
    <w:rsid w:val="00A466BA"/>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1EBF"/>
    <w:rsid w:val="00A62023"/>
    <w:rsid w:val="00A62585"/>
    <w:rsid w:val="00A62A77"/>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9D0"/>
    <w:rsid w:val="00A75645"/>
    <w:rsid w:val="00A761D4"/>
    <w:rsid w:val="00A766BF"/>
    <w:rsid w:val="00A76AB3"/>
    <w:rsid w:val="00A76C36"/>
    <w:rsid w:val="00A77059"/>
    <w:rsid w:val="00A774FE"/>
    <w:rsid w:val="00A77CE4"/>
    <w:rsid w:val="00A77EC4"/>
    <w:rsid w:val="00A81262"/>
    <w:rsid w:val="00A8156C"/>
    <w:rsid w:val="00A8217C"/>
    <w:rsid w:val="00A83070"/>
    <w:rsid w:val="00A8310C"/>
    <w:rsid w:val="00A84443"/>
    <w:rsid w:val="00A84F1F"/>
    <w:rsid w:val="00A858DE"/>
    <w:rsid w:val="00A87E48"/>
    <w:rsid w:val="00A90968"/>
    <w:rsid w:val="00A90BCC"/>
    <w:rsid w:val="00A9126B"/>
    <w:rsid w:val="00A91E08"/>
    <w:rsid w:val="00A91F04"/>
    <w:rsid w:val="00A921C4"/>
    <w:rsid w:val="00A92879"/>
    <w:rsid w:val="00A92C4F"/>
    <w:rsid w:val="00A934AD"/>
    <w:rsid w:val="00A9442A"/>
    <w:rsid w:val="00A94BE3"/>
    <w:rsid w:val="00A950A9"/>
    <w:rsid w:val="00A96D7C"/>
    <w:rsid w:val="00A97016"/>
    <w:rsid w:val="00A9718F"/>
    <w:rsid w:val="00AA016F"/>
    <w:rsid w:val="00AA0531"/>
    <w:rsid w:val="00AA0BA2"/>
    <w:rsid w:val="00AA0C07"/>
    <w:rsid w:val="00AA0FDC"/>
    <w:rsid w:val="00AA1286"/>
    <w:rsid w:val="00AA146A"/>
    <w:rsid w:val="00AA17B6"/>
    <w:rsid w:val="00AA1ED6"/>
    <w:rsid w:val="00AA2880"/>
    <w:rsid w:val="00AA3893"/>
    <w:rsid w:val="00AA455A"/>
    <w:rsid w:val="00AA4F23"/>
    <w:rsid w:val="00AA4FE1"/>
    <w:rsid w:val="00AA510D"/>
    <w:rsid w:val="00AA51D6"/>
    <w:rsid w:val="00AA53CE"/>
    <w:rsid w:val="00AA6007"/>
    <w:rsid w:val="00AA6135"/>
    <w:rsid w:val="00AA6B5E"/>
    <w:rsid w:val="00AA72B9"/>
    <w:rsid w:val="00AA7DDB"/>
    <w:rsid w:val="00AB0431"/>
    <w:rsid w:val="00AB0BC8"/>
    <w:rsid w:val="00AB108D"/>
    <w:rsid w:val="00AB11CA"/>
    <w:rsid w:val="00AB1256"/>
    <w:rsid w:val="00AB13BF"/>
    <w:rsid w:val="00AB14D9"/>
    <w:rsid w:val="00AB1EC1"/>
    <w:rsid w:val="00AB321D"/>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72C"/>
    <w:rsid w:val="00AD2B39"/>
    <w:rsid w:val="00AD2ED0"/>
    <w:rsid w:val="00AD32C9"/>
    <w:rsid w:val="00AD34A6"/>
    <w:rsid w:val="00AD37C4"/>
    <w:rsid w:val="00AD3832"/>
    <w:rsid w:val="00AD3872"/>
    <w:rsid w:val="00AD3F94"/>
    <w:rsid w:val="00AD4A5A"/>
    <w:rsid w:val="00AD4ACC"/>
    <w:rsid w:val="00AD5218"/>
    <w:rsid w:val="00AD570D"/>
    <w:rsid w:val="00AD574D"/>
    <w:rsid w:val="00AD5943"/>
    <w:rsid w:val="00AD5B55"/>
    <w:rsid w:val="00AD5E61"/>
    <w:rsid w:val="00AD71CD"/>
    <w:rsid w:val="00AD734C"/>
    <w:rsid w:val="00AD7756"/>
    <w:rsid w:val="00AD77C9"/>
    <w:rsid w:val="00AD7F6E"/>
    <w:rsid w:val="00AD7FEA"/>
    <w:rsid w:val="00AE091C"/>
    <w:rsid w:val="00AE094D"/>
    <w:rsid w:val="00AE1DAF"/>
    <w:rsid w:val="00AE27AC"/>
    <w:rsid w:val="00AE27F8"/>
    <w:rsid w:val="00AE2850"/>
    <w:rsid w:val="00AE2F8C"/>
    <w:rsid w:val="00AE3089"/>
    <w:rsid w:val="00AE3906"/>
    <w:rsid w:val="00AE3E8C"/>
    <w:rsid w:val="00AE40E0"/>
    <w:rsid w:val="00AE4D6D"/>
    <w:rsid w:val="00AE4DBA"/>
    <w:rsid w:val="00AE4F07"/>
    <w:rsid w:val="00AE50BB"/>
    <w:rsid w:val="00AE523A"/>
    <w:rsid w:val="00AE54CF"/>
    <w:rsid w:val="00AE615B"/>
    <w:rsid w:val="00AE68A6"/>
    <w:rsid w:val="00AE7315"/>
    <w:rsid w:val="00AE7336"/>
    <w:rsid w:val="00AE7686"/>
    <w:rsid w:val="00AE775A"/>
    <w:rsid w:val="00AE7A06"/>
    <w:rsid w:val="00AF1267"/>
    <w:rsid w:val="00AF157A"/>
    <w:rsid w:val="00AF15DA"/>
    <w:rsid w:val="00AF1C5D"/>
    <w:rsid w:val="00AF1FA4"/>
    <w:rsid w:val="00AF2C04"/>
    <w:rsid w:val="00AF2DA8"/>
    <w:rsid w:val="00AF3BAA"/>
    <w:rsid w:val="00AF3C36"/>
    <w:rsid w:val="00AF42D7"/>
    <w:rsid w:val="00AF43CA"/>
    <w:rsid w:val="00AF48ED"/>
    <w:rsid w:val="00AF56E2"/>
    <w:rsid w:val="00AF602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410D"/>
    <w:rsid w:val="00B14718"/>
    <w:rsid w:val="00B15284"/>
    <w:rsid w:val="00B157F9"/>
    <w:rsid w:val="00B17096"/>
    <w:rsid w:val="00B20256"/>
    <w:rsid w:val="00B20D09"/>
    <w:rsid w:val="00B218D0"/>
    <w:rsid w:val="00B21B0B"/>
    <w:rsid w:val="00B21CAD"/>
    <w:rsid w:val="00B21CDF"/>
    <w:rsid w:val="00B21F15"/>
    <w:rsid w:val="00B22580"/>
    <w:rsid w:val="00B22B68"/>
    <w:rsid w:val="00B24618"/>
    <w:rsid w:val="00B24EF0"/>
    <w:rsid w:val="00B24FF2"/>
    <w:rsid w:val="00B250E9"/>
    <w:rsid w:val="00B25624"/>
    <w:rsid w:val="00B2594A"/>
    <w:rsid w:val="00B264FC"/>
    <w:rsid w:val="00B27007"/>
    <w:rsid w:val="00B2763F"/>
    <w:rsid w:val="00B27AAC"/>
    <w:rsid w:val="00B27DDE"/>
    <w:rsid w:val="00B30929"/>
    <w:rsid w:val="00B3134E"/>
    <w:rsid w:val="00B322EC"/>
    <w:rsid w:val="00B32725"/>
    <w:rsid w:val="00B32EA2"/>
    <w:rsid w:val="00B33329"/>
    <w:rsid w:val="00B33CF5"/>
    <w:rsid w:val="00B3440B"/>
    <w:rsid w:val="00B3495C"/>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4252"/>
    <w:rsid w:val="00B4470F"/>
    <w:rsid w:val="00B44A38"/>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602"/>
    <w:rsid w:val="00B52B19"/>
    <w:rsid w:val="00B52BC3"/>
    <w:rsid w:val="00B52C80"/>
    <w:rsid w:val="00B52DBC"/>
    <w:rsid w:val="00B548B7"/>
    <w:rsid w:val="00B548E3"/>
    <w:rsid w:val="00B55AEE"/>
    <w:rsid w:val="00B55BE7"/>
    <w:rsid w:val="00B56659"/>
    <w:rsid w:val="00B56719"/>
    <w:rsid w:val="00B56AFB"/>
    <w:rsid w:val="00B571E9"/>
    <w:rsid w:val="00B57C30"/>
    <w:rsid w:val="00B6058B"/>
    <w:rsid w:val="00B60635"/>
    <w:rsid w:val="00B606EB"/>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2B31"/>
    <w:rsid w:val="00B72F3B"/>
    <w:rsid w:val="00B7337D"/>
    <w:rsid w:val="00B73678"/>
    <w:rsid w:val="00B739DB"/>
    <w:rsid w:val="00B739F6"/>
    <w:rsid w:val="00B744E1"/>
    <w:rsid w:val="00B74B9D"/>
    <w:rsid w:val="00B74C90"/>
    <w:rsid w:val="00B74D4A"/>
    <w:rsid w:val="00B74FBF"/>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50CE"/>
    <w:rsid w:val="00B85AF8"/>
    <w:rsid w:val="00B85DE5"/>
    <w:rsid w:val="00B85E79"/>
    <w:rsid w:val="00B8605E"/>
    <w:rsid w:val="00B870BB"/>
    <w:rsid w:val="00B87703"/>
    <w:rsid w:val="00B87909"/>
    <w:rsid w:val="00B8797C"/>
    <w:rsid w:val="00B8798F"/>
    <w:rsid w:val="00B87B0A"/>
    <w:rsid w:val="00B90448"/>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7274"/>
    <w:rsid w:val="00B97409"/>
    <w:rsid w:val="00B97CD5"/>
    <w:rsid w:val="00BA05B3"/>
    <w:rsid w:val="00BA0D97"/>
    <w:rsid w:val="00BA140A"/>
    <w:rsid w:val="00BA164D"/>
    <w:rsid w:val="00BA17D9"/>
    <w:rsid w:val="00BA1EF4"/>
    <w:rsid w:val="00BA219D"/>
    <w:rsid w:val="00BA21F3"/>
    <w:rsid w:val="00BA2280"/>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A25"/>
    <w:rsid w:val="00BB4920"/>
    <w:rsid w:val="00BB4AC9"/>
    <w:rsid w:val="00BB4CA5"/>
    <w:rsid w:val="00BB51E9"/>
    <w:rsid w:val="00BB5490"/>
    <w:rsid w:val="00BB633F"/>
    <w:rsid w:val="00BB74EA"/>
    <w:rsid w:val="00BB7843"/>
    <w:rsid w:val="00BB7F0F"/>
    <w:rsid w:val="00BC0202"/>
    <w:rsid w:val="00BC05C3"/>
    <w:rsid w:val="00BC0FDC"/>
    <w:rsid w:val="00BC13BF"/>
    <w:rsid w:val="00BC1477"/>
    <w:rsid w:val="00BC1B4B"/>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8AC"/>
    <w:rsid w:val="00BD5748"/>
    <w:rsid w:val="00BD5B32"/>
    <w:rsid w:val="00BD5DC0"/>
    <w:rsid w:val="00BD5F1A"/>
    <w:rsid w:val="00BD636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601A"/>
    <w:rsid w:val="00BE6F61"/>
    <w:rsid w:val="00BE7030"/>
    <w:rsid w:val="00BE70E7"/>
    <w:rsid w:val="00BE7406"/>
    <w:rsid w:val="00BE7603"/>
    <w:rsid w:val="00BF049E"/>
    <w:rsid w:val="00BF0848"/>
    <w:rsid w:val="00BF0B3E"/>
    <w:rsid w:val="00BF0F81"/>
    <w:rsid w:val="00BF174E"/>
    <w:rsid w:val="00BF2FAD"/>
    <w:rsid w:val="00BF3279"/>
    <w:rsid w:val="00BF3622"/>
    <w:rsid w:val="00BF42F3"/>
    <w:rsid w:val="00BF4385"/>
    <w:rsid w:val="00BF4578"/>
    <w:rsid w:val="00BF4897"/>
    <w:rsid w:val="00BF52D2"/>
    <w:rsid w:val="00BF52DD"/>
    <w:rsid w:val="00BF5D50"/>
    <w:rsid w:val="00BF6299"/>
    <w:rsid w:val="00BF653E"/>
    <w:rsid w:val="00BF6984"/>
    <w:rsid w:val="00BF6E41"/>
    <w:rsid w:val="00BF74C7"/>
    <w:rsid w:val="00BF779D"/>
    <w:rsid w:val="00BF7C56"/>
    <w:rsid w:val="00BF7DBB"/>
    <w:rsid w:val="00BF7E25"/>
    <w:rsid w:val="00C015F1"/>
    <w:rsid w:val="00C0179B"/>
    <w:rsid w:val="00C01F33"/>
    <w:rsid w:val="00C02CC6"/>
    <w:rsid w:val="00C036DE"/>
    <w:rsid w:val="00C040F7"/>
    <w:rsid w:val="00C0420A"/>
    <w:rsid w:val="00C044AB"/>
    <w:rsid w:val="00C045DE"/>
    <w:rsid w:val="00C048B8"/>
    <w:rsid w:val="00C04B46"/>
    <w:rsid w:val="00C04E7A"/>
    <w:rsid w:val="00C05279"/>
    <w:rsid w:val="00C05706"/>
    <w:rsid w:val="00C0628C"/>
    <w:rsid w:val="00C06926"/>
    <w:rsid w:val="00C06D77"/>
    <w:rsid w:val="00C07290"/>
    <w:rsid w:val="00C07377"/>
    <w:rsid w:val="00C1036C"/>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611A"/>
    <w:rsid w:val="00C1654F"/>
    <w:rsid w:val="00C1693A"/>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9B5"/>
    <w:rsid w:val="00C27A1A"/>
    <w:rsid w:val="00C27C45"/>
    <w:rsid w:val="00C307E6"/>
    <w:rsid w:val="00C30FBE"/>
    <w:rsid w:val="00C317D7"/>
    <w:rsid w:val="00C331CB"/>
    <w:rsid w:val="00C351A0"/>
    <w:rsid w:val="00C35507"/>
    <w:rsid w:val="00C3719D"/>
    <w:rsid w:val="00C37CB2"/>
    <w:rsid w:val="00C37CBF"/>
    <w:rsid w:val="00C408CF"/>
    <w:rsid w:val="00C40F72"/>
    <w:rsid w:val="00C40FB4"/>
    <w:rsid w:val="00C40FD5"/>
    <w:rsid w:val="00C41B1C"/>
    <w:rsid w:val="00C420E5"/>
    <w:rsid w:val="00C42A9B"/>
    <w:rsid w:val="00C42E8A"/>
    <w:rsid w:val="00C43648"/>
    <w:rsid w:val="00C4367F"/>
    <w:rsid w:val="00C43DCF"/>
    <w:rsid w:val="00C44646"/>
    <w:rsid w:val="00C44A62"/>
    <w:rsid w:val="00C453C9"/>
    <w:rsid w:val="00C45FE7"/>
    <w:rsid w:val="00C46250"/>
    <w:rsid w:val="00C46283"/>
    <w:rsid w:val="00C463CA"/>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672"/>
    <w:rsid w:val="00C64D93"/>
    <w:rsid w:val="00C655E0"/>
    <w:rsid w:val="00C657B8"/>
    <w:rsid w:val="00C6630B"/>
    <w:rsid w:val="00C66776"/>
    <w:rsid w:val="00C70098"/>
    <w:rsid w:val="00C70697"/>
    <w:rsid w:val="00C707D8"/>
    <w:rsid w:val="00C70E3C"/>
    <w:rsid w:val="00C714D5"/>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520D"/>
    <w:rsid w:val="00C75B40"/>
    <w:rsid w:val="00C75D2F"/>
    <w:rsid w:val="00C76424"/>
    <w:rsid w:val="00C767BE"/>
    <w:rsid w:val="00C76BBE"/>
    <w:rsid w:val="00C76E3C"/>
    <w:rsid w:val="00C7780A"/>
    <w:rsid w:val="00C77A4F"/>
    <w:rsid w:val="00C77B18"/>
    <w:rsid w:val="00C77CCC"/>
    <w:rsid w:val="00C77EA8"/>
    <w:rsid w:val="00C80FD5"/>
    <w:rsid w:val="00C81568"/>
    <w:rsid w:val="00C81618"/>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90145"/>
    <w:rsid w:val="00C9027A"/>
    <w:rsid w:val="00C9068E"/>
    <w:rsid w:val="00C906B3"/>
    <w:rsid w:val="00C908C7"/>
    <w:rsid w:val="00C90AC2"/>
    <w:rsid w:val="00C918F4"/>
    <w:rsid w:val="00C91B18"/>
    <w:rsid w:val="00C92C3F"/>
    <w:rsid w:val="00C9304B"/>
    <w:rsid w:val="00C9316B"/>
    <w:rsid w:val="00C93814"/>
    <w:rsid w:val="00C93C4B"/>
    <w:rsid w:val="00C93E0D"/>
    <w:rsid w:val="00C944AB"/>
    <w:rsid w:val="00C95A9C"/>
    <w:rsid w:val="00C95B40"/>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A81"/>
    <w:rsid w:val="00CB5CEA"/>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3763"/>
    <w:rsid w:val="00CC39B9"/>
    <w:rsid w:val="00CC3EA0"/>
    <w:rsid w:val="00CC4B34"/>
    <w:rsid w:val="00CC71FA"/>
    <w:rsid w:val="00CC76C9"/>
    <w:rsid w:val="00CC76FB"/>
    <w:rsid w:val="00CC7B45"/>
    <w:rsid w:val="00CD02EF"/>
    <w:rsid w:val="00CD06FF"/>
    <w:rsid w:val="00CD1188"/>
    <w:rsid w:val="00CD1EB9"/>
    <w:rsid w:val="00CD2074"/>
    <w:rsid w:val="00CD28FC"/>
    <w:rsid w:val="00CD2C6D"/>
    <w:rsid w:val="00CD2ED1"/>
    <w:rsid w:val="00CD337B"/>
    <w:rsid w:val="00CD438E"/>
    <w:rsid w:val="00CD550F"/>
    <w:rsid w:val="00CD571D"/>
    <w:rsid w:val="00CD5979"/>
    <w:rsid w:val="00CD5BE5"/>
    <w:rsid w:val="00CD5EC4"/>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CE3"/>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A12"/>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11DE"/>
    <w:rsid w:val="00D115A0"/>
    <w:rsid w:val="00D115C3"/>
    <w:rsid w:val="00D11897"/>
    <w:rsid w:val="00D11EFA"/>
    <w:rsid w:val="00D12D7C"/>
    <w:rsid w:val="00D13135"/>
    <w:rsid w:val="00D13636"/>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FCD"/>
    <w:rsid w:val="00D25095"/>
    <w:rsid w:val="00D25296"/>
    <w:rsid w:val="00D25595"/>
    <w:rsid w:val="00D2565B"/>
    <w:rsid w:val="00D25EBA"/>
    <w:rsid w:val="00D25F2F"/>
    <w:rsid w:val="00D25FC1"/>
    <w:rsid w:val="00D260B3"/>
    <w:rsid w:val="00D26418"/>
    <w:rsid w:val="00D267AA"/>
    <w:rsid w:val="00D27558"/>
    <w:rsid w:val="00D27C30"/>
    <w:rsid w:val="00D30957"/>
    <w:rsid w:val="00D309B5"/>
    <w:rsid w:val="00D30CBD"/>
    <w:rsid w:val="00D3101F"/>
    <w:rsid w:val="00D3111A"/>
    <w:rsid w:val="00D3141A"/>
    <w:rsid w:val="00D31681"/>
    <w:rsid w:val="00D31E46"/>
    <w:rsid w:val="00D31E70"/>
    <w:rsid w:val="00D31E7B"/>
    <w:rsid w:val="00D321E4"/>
    <w:rsid w:val="00D32933"/>
    <w:rsid w:val="00D33463"/>
    <w:rsid w:val="00D33A92"/>
    <w:rsid w:val="00D3433D"/>
    <w:rsid w:val="00D34684"/>
    <w:rsid w:val="00D3495D"/>
    <w:rsid w:val="00D35972"/>
    <w:rsid w:val="00D36207"/>
    <w:rsid w:val="00D36E71"/>
    <w:rsid w:val="00D37A9A"/>
    <w:rsid w:val="00D37D87"/>
    <w:rsid w:val="00D40455"/>
    <w:rsid w:val="00D40B33"/>
    <w:rsid w:val="00D40EBE"/>
    <w:rsid w:val="00D40EEA"/>
    <w:rsid w:val="00D422F8"/>
    <w:rsid w:val="00D4253A"/>
    <w:rsid w:val="00D43010"/>
    <w:rsid w:val="00D4313D"/>
    <w:rsid w:val="00D4318F"/>
    <w:rsid w:val="00D438BF"/>
    <w:rsid w:val="00D440F8"/>
    <w:rsid w:val="00D44964"/>
    <w:rsid w:val="00D45286"/>
    <w:rsid w:val="00D46093"/>
    <w:rsid w:val="00D46314"/>
    <w:rsid w:val="00D463F0"/>
    <w:rsid w:val="00D46412"/>
    <w:rsid w:val="00D46978"/>
    <w:rsid w:val="00D46988"/>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FF2"/>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B4"/>
    <w:rsid w:val="00D84D3A"/>
    <w:rsid w:val="00D8519C"/>
    <w:rsid w:val="00D85B47"/>
    <w:rsid w:val="00D86CA3"/>
    <w:rsid w:val="00D871CE"/>
    <w:rsid w:val="00D900E3"/>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73DE"/>
    <w:rsid w:val="00D97A45"/>
    <w:rsid w:val="00DA0235"/>
    <w:rsid w:val="00DA179B"/>
    <w:rsid w:val="00DA17DE"/>
    <w:rsid w:val="00DA19A8"/>
    <w:rsid w:val="00DA19D3"/>
    <w:rsid w:val="00DA2873"/>
    <w:rsid w:val="00DA305E"/>
    <w:rsid w:val="00DA306B"/>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4279"/>
    <w:rsid w:val="00DC4366"/>
    <w:rsid w:val="00DC53EF"/>
    <w:rsid w:val="00DC561D"/>
    <w:rsid w:val="00DC6B9E"/>
    <w:rsid w:val="00DC6E25"/>
    <w:rsid w:val="00DC75EB"/>
    <w:rsid w:val="00DC7786"/>
    <w:rsid w:val="00DC7C7F"/>
    <w:rsid w:val="00DD066D"/>
    <w:rsid w:val="00DD0DBF"/>
    <w:rsid w:val="00DD22F0"/>
    <w:rsid w:val="00DD28AE"/>
    <w:rsid w:val="00DD2E69"/>
    <w:rsid w:val="00DD5302"/>
    <w:rsid w:val="00DD5511"/>
    <w:rsid w:val="00DD559F"/>
    <w:rsid w:val="00DD56A5"/>
    <w:rsid w:val="00DD668C"/>
    <w:rsid w:val="00DE12FA"/>
    <w:rsid w:val="00DE167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0FE2"/>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A74"/>
    <w:rsid w:val="00E42A8B"/>
    <w:rsid w:val="00E42BA4"/>
    <w:rsid w:val="00E43258"/>
    <w:rsid w:val="00E43A10"/>
    <w:rsid w:val="00E446F1"/>
    <w:rsid w:val="00E45141"/>
    <w:rsid w:val="00E45CE9"/>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510"/>
    <w:rsid w:val="00E716D6"/>
    <w:rsid w:val="00E7237C"/>
    <w:rsid w:val="00E72D4B"/>
    <w:rsid w:val="00E72EFC"/>
    <w:rsid w:val="00E74437"/>
    <w:rsid w:val="00E74498"/>
    <w:rsid w:val="00E746D1"/>
    <w:rsid w:val="00E74A84"/>
    <w:rsid w:val="00E758EC"/>
    <w:rsid w:val="00E759B3"/>
    <w:rsid w:val="00E760C2"/>
    <w:rsid w:val="00E77403"/>
    <w:rsid w:val="00E779ED"/>
    <w:rsid w:val="00E77E6B"/>
    <w:rsid w:val="00E80023"/>
    <w:rsid w:val="00E803EF"/>
    <w:rsid w:val="00E81DC6"/>
    <w:rsid w:val="00E8234C"/>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9C1"/>
    <w:rsid w:val="00E90E49"/>
    <w:rsid w:val="00E911B6"/>
    <w:rsid w:val="00E917F9"/>
    <w:rsid w:val="00E91C28"/>
    <w:rsid w:val="00E9291C"/>
    <w:rsid w:val="00E92B40"/>
    <w:rsid w:val="00E93828"/>
    <w:rsid w:val="00E93FFE"/>
    <w:rsid w:val="00E94D24"/>
    <w:rsid w:val="00E94F8A"/>
    <w:rsid w:val="00E95969"/>
    <w:rsid w:val="00E97DB7"/>
    <w:rsid w:val="00E97ED3"/>
    <w:rsid w:val="00EA01D7"/>
    <w:rsid w:val="00EA09CB"/>
    <w:rsid w:val="00EA0A83"/>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E3E"/>
    <w:rsid w:val="00EB5F45"/>
    <w:rsid w:val="00EB62F9"/>
    <w:rsid w:val="00EB6D33"/>
    <w:rsid w:val="00EB6FCE"/>
    <w:rsid w:val="00EC0002"/>
    <w:rsid w:val="00EC0253"/>
    <w:rsid w:val="00EC0BE3"/>
    <w:rsid w:val="00EC14C2"/>
    <w:rsid w:val="00EC1F8B"/>
    <w:rsid w:val="00EC249D"/>
    <w:rsid w:val="00EC24D5"/>
    <w:rsid w:val="00EC2773"/>
    <w:rsid w:val="00EC27AB"/>
    <w:rsid w:val="00EC27C6"/>
    <w:rsid w:val="00EC2EE2"/>
    <w:rsid w:val="00EC3682"/>
    <w:rsid w:val="00EC3A4D"/>
    <w:rsid w:val="00EC3BB2"/>
    <w:rsid w:val="00EC4207"/>
    <w:rsid w:val="00EC4D78"/>
    <w:rsid w:val="00EC518D"/>
    <w:rsid w:val="00EC5653"/>
    <w:rsid w:val="00EC6042"/>
    <w:rsid w:val="00EC6E7D"/>
    <w:rsid w:val="00EC71CE"/>
    <w:rsid w:val="00EC756A"/>
    <w:rsid w:val="00EC7618"/>
    <w:rsid w:val="00ED0312"/>
    <w:rsid w:val="00ED1006"/>
    <w:rsid w:val="00ED110C"/>
    <w:rsid w:val="00ED1483"/>
    <w:rsid w:val="00ED14E6"/>
    <w:rsid w:val="00ED16D9"/>
    <w:rsid w:val="00ED1A45"/>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983"/>
    <w:rsid w:val="00EE7B00"/>
    <w:rsid w:val="00EF0149"/>
    <w:rsid w:val="00EF18FE"/>
    <w:rsid w:val="00EF20FA"/>
    <w:rsid w:val="00EF390B"/>
    <w:rsid w:val="00EF3C43"/>
    <w:rsid w:val="00EF3E1B"/>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808"/>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A66"/>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796"/>
    <w:rsid w:val="00F817CE"/>
    <w:rsid w:val="00F8384D"/>
    <w:rsid w:val="00F83F30"/>
    <w:rsid w:val="00F841B1"/>
    <w:rsid w:val="00F84382"/>
    <w:rsid w:val="00F8456C"/>
    <w:rsid w:val="00F84FF4"/>
    <w:rsid w:val="00F85747"/>
    <w:rsid w:val="00F859D8"/>
    <w:rsid w:val="00F85CB0"/>
    <w:rsid w:val="00F868B6"/>
    <w:rsid w:val="00F868F5"/>
    <w:rsid w:val="00F870AC"/>
    <w:rsid w:val="00F871DA"/>
    <w:rsid w:val="00F87B8C"/>
    <w:rsid w:val="00F87D9D"/>
    <w:rsid w:val="00F902D9"/>
    <w:rsid w:val="00F90448"/>
    <w:rsid w:val="00F9056A"/>
    <w:rsid w:val="00F90F8D"/>
    <w:rsid w:val="00F92254"/>
    <w:rsid w:val="00F92782"/>
    <w:rsid w:val="00F92C2C"/>
    <w:rsid w:val="00F937F5"/>
    <w:rsid w:val="00F93A40"/>
    <w:rsid w:val="00F93AA9"/>
    <w:rsid w:val="00F93C1E"/>
    <w:rsid w:val="00F93C99"/>
    <w:rsid w:val="00F93FB2"/>
    <w:rsid w:val="00F95A40"/>
    <w:rsid w:val="00F95EDC"/>
    <w:rsid w:val="00F962C2"/>
    <w:rsid w:val="00F968F4"/>
    <w:rsid w:val="00F96985"/>
    <w:rsid w:val="00F96997"/>
    <w:rsid w:val="00F96B93"/>
    <w:rsid w:val="00F96B9D"/>
    <w:rsid w:val="00F97728"/>
    <w:rsid w:val="00F97838"/>
    <w:rsid w:val="00F97DD2"/>
    <w:rsid w:val="00FA0B7D"/>
    <w:rsid w:val="00FA17A3"/>
    <w:rsid w:val="00FA1A69"/>
    <w:rsid w:val="00FA2203"/>
    <w:rsid w:val="00FA2BB3"/>
    <w:rsid w:val="00FA2EEB"/>
    <w:rsid w:val="00FA312E"/>
    <w:rsid w:val="00FA3CDC"/>
    <w:rsid w:val="00FA454D"/>
    <w:rsid w:val="00FA530E"/>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7F6"/>
    <w:rsid w:val="00FD091D"/>
    <w:rsid w:val="00FD14C2"/>
    <w:rsid w:val="00FD199A"/>
    <w:rsid w:val="00FD1EC8"/>
    <w:rsid w:val="00FD2346"/>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655"/>
    <w:rsid w:val="00FE089F"/>
    <w:rsid w:val="00FE08FE"/>
    <w:rsid w:val="00FE0F09"/>
    <w:rsid w:val="00FE1405"/>
    <w:rsid w:val="00FE17A4"/>
    <w:rsid w:val="00FE2365"/>
    <w:rsid w:val="00FE3691"/>
    <w:rsid w:val="00FE37D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90EF17C7-3923-064C-A21A-B3B0C4D9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CF6"/>
    <w:rPr>
      <w:rFonts w:asciiTheme="minorHAnsi" w:eastAsiaTheme="minorEastAsia" w:hAnsiTheme="minorHAnsi" w:cstheme="minorBidi"/>
      <w:sz w:val="24"/>
      <w:szCs w:val="24"/>
      <w:lang w:val="en-US"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F65C56"/>
    <w:p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9C3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CF6"/>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line="259" w:lineRule="auto"/>
      <w:jc w:val="both"/>
    </w:pPr>
    <w:rPr>
      <w:rFonts w:ascii="Arial" w:eastAsiaTheme="minorHAnsi" w:hAnsi="Arial" w:cs="Arial"/>
      <w:sz w:val="20"/>
      <w:szCs w:val="20"/>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spacing w:after="160" w:line="259" w:lineRule="auto"/>
    </w:pPr>
    <w:rPr>
      <w:rFonts w:ascii="Arial" w:eastAsiaTheme="minorHAnsi" w:hAnsi="Arial" w:cs="Arial"/>
      <w:sz w:val="18"/>
      <w:szCs w:val="20"/>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F65C56"/>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spacing w:after="160" w:line="259" w:lineRule="auto"/>
      <w:ind w:left="720"/>
    </w:pPr>
    <w:rPr>
      <w:rFonts w:ascii="Calibri" w:eastAsia="Calibri" w:hAnsi="Calibri" w:cs="Arial"/>
      <w:sz w:val="20"/>
      <w:szCs w:val="20"/>
      <w:lang w:val="x-none" w:eastAsia="en-US"/>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after="160" w:line="256" w:lineRule="auto"/>
      <w:jc w:val="both"/>
    </w:pPr>
    <w:rPr>
      <w:rFonts w:ascii="Calibri Light" w:eastAsiaTheme="minorHAnsi" w:hAnsi="Calibri Light" w:cs="Arial"/>
      <w:sz w:val="20"/>
      <w:szCs w:val="20"/>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numPr>
        <w:ilvl w:val="2"/>
      </w:numPr>
      <w:tabs>
        <w:tab w:val="num" w:pos="851"/>
      </w:tabs>
      <w:spacing w:after="120"/>
      <w:ind w:left="851"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5NUHHDQN7SK2-1476151046-413081</_dlc_DocId>
    <_dlc_DocIdUrl xmlns="f166a696-7b5b-4ccd-9f0c-ffde0cceec81">
      <Url>https://ericsson.sharepoint.com/sites/star/_layouts/15/DocIdRedir.aspx?ID=5NUHHDQN7SK2-1476151046-413081</Url>
      <Description>5NUHHDQN7SK2-1476151046-413081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207BC28-BE6F-47C2-8AE7-06A14BA5103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8</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735</cp:revision>
  <cp:lastPrinted>2008-01-31T22:09:00Z</cp:lastPrinted>
  <dcterms:created xsi:type="dcterms:W3CDTF">2020-05-07T23:46:00Z</dcterms:created>
  <dcterms:modified xsi:type="dcterms:W3CDTF">2020-08-07T21:14:00Z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32f4b70b-358d-4e2a-8645-2d2645ceedda</vt:lpwstr>
  </property>
  <property fmtid="{D5CDD505-2E9C-101B-9397-08002B2CF9AE}" pid="13" name="ContentTypeId">
    <vt:lpwstr>0x010100C5F30C9B16E14C8EACE5F2CC7B7AC7F400F5862E332FC6CE449700A00A9FC83FBA</vt:lpwstr>
  </property>
</Properties>
</file>